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970" w:rsidRPr="00E23970" w:rsidRDefault="00E23970" w:rsidP="00E23970">
      <w:pPr>
        <w:rPr>
          <w:rFonts w:ascii="Arial" w:hAnsi="Arial" w:cs="Arial"/>
          <w:sz w:val="24"/>
          <w:szCs w:val="24"/>
          <w:lang w:val="es-ES"/>
        </w:rPr>
      </w:pPr>
      <w:bookmarkStart w:id="0" w:name="_GoBack"/>
      <w:bookmarkEnd w:id="0"/>
    </w:p>
    <w:p w:rsidR="00E23970" w:rsidRPr="00E23970" w:rsidRDefault="00E23970" w:rsidP="00E23970">
      <w:pPr>
        <w:rPr>
          <w:rFonts w:ascii="Arial" w:hAnsi="Arial" w:cs="Arial"/>
          <w:sz w:val="24"/>
          <w:szCs w:val="24"/>
          <w:lang w:val="es-AR"/>
        </w:rPr>
      </w:pPr>
      <w:r w:rsidRPr="00E23970">
        <w:rPr>
          <w:rFonts w:ascii="Arial" w:hAnsi="Arial" w:cs="Arial"/>
          <w:b/>
          <w:sz w:val="24"/>
          <w:szCs w:val="24"/>
          <w:lang w:val="es-ES"/>
        </w:rPr>
        <w:t>Título del proyecto:</w:t>
      </w:r>
      <w:r w:rsidRPr="00E23970">
        <w:rPr>
          <w:rFonts w:ascii="Arial" w:hAnsi="Arial" w:cs="Arial"/>
          <w:sz w:val="24"/>
          <w:szCs w:val="24"/>
          <w:lang w:val="es-ES"/>
        </w:rPr>
        <w:t xml:space="preserve"> </w:t>
      </w:r>
      <w:r w:rsidR="00D92972" w:rsidRPr="00D92972">
        <w:rPr>
          <w:rFonts w:ascii="Arial" w:hAnsi="Arial" w:cs="Arial"/>
          <w:sz w:val="24"/>
          <w:szCs w:val="24"/>
          <w:lang w:val="es-ES"/>
        </w:rPr>
        <w:t>“Entre la infracción y el conflicto. Improntas ideológicas en los tribunales orales en lo cr</w:t>
      </w:r>
      <w:r w:rsidR="00D92972">
        <w:rPr>
          <w:rFonts w:ascii="Arial" w:hAnsi="Arial" w:cs="Arial"/>
          <w:sz w:val="24"/>
          <w:szCs w:val="24"/>
          <w:lang w:val="es-ES"/>
        </w:rPr>
        <w:t>iminal y correccional nacional”</w:t>
      </w:r>
    </w:p>
    <w:p w:rsidR="00F7424D" w:rsidRPr="00E23970" w:rsidRDefault="00E23970" w:rsidP="00E23970">
      <w:pPr>
        <w:rPr>
          <w:rFonts w:ascii="Arial" w:hAnsi="Arial" w:cs="Arial"/>
          <w:sz w:val="24"/>
          <w:szCs w:val="24"/>
          <w:lang w:val="es-AR"/>
        </w:rPr>
      </w:pPr>
      <w:r w:rsidRPr="00E23970">
        <w:rPr>
          <w:rFonts w:ascii="Arial" w:hAnsi="Arial" w:cs="Arial"/>
          <w:b/>
          <w:sz w:val="24"/>
          <w:szCs w:val="24"/>
          <w:lang w:val="es-AR"/>
        </w:rPr>
        <w:t>Director:</w:t>
      </w:r>
      <w:r w:rsidRPr="00E23970">
        <w:rPr>
          <w:rFonts w:ascii="Arial" w:hAnsi="Arial" w:cs="Arial"/>
          <w:sz w:val="24"/>
          <w:szCs w:val="24"/>
          <w:lang w:val="es-AR"/>
        </w:rPr>
        <w:t xml:space="preserve"> </w:t>
      </w:r>
      <w:r w:rsidR="00D92972" w:rsidRPr="00D92972">
        <w:rPr>
          <w:rFonts w:ascii="Arial" w:hAnsi="Arial" w:cs="Arial"/>
          <w:sz w:val="24"/>
          <w:szCs w:val="24"/>
          <w:lang w:val="es-AR"/>
        </w:rPr>
        <w:t xml:space="preserve">Martín, Adrián Norberto </w:t>
      </w:r>
      <w:r w:rsidR="003C71F7">
        <w:rPr>
          <w:rFonts w:ascii="Arial" w:hAnsi="Arial" w:cs="Arial"/>
          <w:sz w:val="24"/>
          <w:szCs w:val="24"/>
          <w:lang w:val="es-AR"/>
        </w:rPr>
        <w:t>(</w:t>
      </w:r>
      <w:r w:rsidR="00D92972" w:rsidRPr="00D92972">
        <w:rPr>
          <w:rFonts w:ascii="Arial" w:hAnsi="Arial" w:cs="Arial"/>
          <w:sz w:val="24"/>
          <w:szCs w:val="24"/>
          <w:lang w:val="es-AR"/>
        </w:rPr>
        <w:t>anm1973@gmail.com</w:t>
      </w:r>
      <w:r w:rsidRPr="003C71F7">
        <w:rPr>
          <w:rFonts w:ascii="Arial" w:hAnsi="Arial" w:cs="Arial"/>
          <w:sz w:val="24"/>
          <w:szCs w:val="24"/>
          <w:lang w:val="es-AR"/>
        </w:rPr>
        <w:t>)</w:t>
      </w:r>
    </w:p>
    <w:p w:rsidR="00E23970" w:rsidRPr="00E23970" w:rsidRDefault="00E23970" w:rsidP="00D92972">
      <w:pPr>
        <w:jc w:val="both"/>
        <w:rPr>
          <w:rFonts w:ascii="Arial" w:hAnsi="Arial" w:cs="Arial"/>
          <w:sz w:val="24"/>
          <w:szCs w:val="24"/>
          <w:lang w:val="es-AR"/>
        </w:rPr>
      </w:pPr>
      <w:r w:rsidRPr="00E23970">
        <w:rPr>
          <w:rFonts w:ascii="Arial" w:hAnsi="Arial" w:cs="Arial"/>
          <w:b/>
          <w:sz w:val="24"/>
          <w:szCs w:val="24"/>
          <w:lang w:val="es-AR"/>
        </w:rPr>
        <w:t>Equipo de trabajo:</w:t>
      </w:r>
      <w:r w:rsidRPr="00E23970">
        <w:rPr>
          <w:rFonts w:ascii="Arial" w:hAnsi="Arial" w:cs="Arial"/>
          <w:sz w:val="24"/>
          <w:szCs w:val="24"/>
          <w:lang w:val="es-AR"/>
        </w:rPr>
        <w:t xml:space="preserve"> </w:t>
      </w:r>
      <w:proofErr w:type="spellStart"/>
      <w:r w:rsidR="00D92972">
        <w:rPr>
          <w:rFonts w:ascii="Arial" w:hAnsi="Arial" w:cs="Arial"/>
          <w:sz w:val="24"/>
          <w:szCs w:val="24"/>
        </w:rPr>
        <w:t>Guereño</w:t>
      </w:r>
      <w:proofErr w:type="spellEnd"/>
      <w:r w:rsidR="00D92972">
        <w:rPr>
          <w:rFonts w:ascii="Arial" w:hAnsi="Arial" w:cs="Arial"/>
          <w:sz w:val="24"/>
          <w:szCs w:val="24"/>
        </w:rPr>
        <w:t xml:space="preserve">, Indiana; </w:t>
      </w:r>
      <w:proofErr w:type="spellStart"/>
      <w:r w:rsidR="00D92972">
        <w:rPr>
          <w:rFonts w:ascii="Arial" w:hAnsi="Arial" w:cs="Arial"/>
          <w:sz w:val="24"/>
          <w:szCs w:val="24"/>
        </w:rPr>
        <w:t>Calabrese</w:t>
      </w:r>
      <w:proofErr w:type="spellEnd"/>
      <w:r w:rsidR="00D92972">
        <w:rPr>
          <w:rFonts w:ascii="Arial" w:hAnsi="Arial" w:cs="Arial"/>
          <w:sz w:val="24"/>
          <w:szCs w:val="24"/>
        </w:rPr>
        <w:t xml:space="preserve">, María Agustina; </w:t>
      </w:r>
      <w:proofErr w:type="spellStart"/>
      <w:r w:rsidR="00D92972">
        <w:rPr>
          <w:rFonts w:ascii="Arial" w:hAnsi="Arial" w:cs="Arial"/>
          <w:sz w:val="24"/>
          <w:szCs w:val="24"/>
        </w:rPr>
        <w:t>Gauna</w:t>
      </w:r>
      <w:proofErr w:type="spellEnd"/>
      <w:r w:rsidR="00D92972">
        <w:rPr>
          <w:rFonts w:ascii="Arial" w:hAnsi="Arial" w:cs="Arial"/>
          <w:sz w:val="24"/>
          <w:szCs w:val="24"/>
        </w:rPr>
        <w:t xml:space="preserve"> Alsina, Fernando Marcelo; Leguizamón, Laura Mercedes; </w:t>
      </w:r>
      <w:proofErr w:type="spellStart"/>
      <w:r w:rsidR="00D92972">
        <w:rPr>
          <w:rFonts w:ascii="Arial" w:hAnsi="Arial" w:cs="Arial"/>
          <w:sz w:val="24"/>
          <w:szCs w:val="24"/>
        </w:rPr>
        <w:t>Mancini</w:t>
      </w:r>
      <w:proofErr w:type="spellEnd"/>
      <w:r w:rsidR="00D92972">
        <w:rPr>
          <w:rFonts w:ascii="Arial" w:hAnsi="Arial" w:cs="Arial"/>
          <w:sz w:val="24"/>
          <w:szCs w:val="24"/>
        </w:rPr>
        <w:t xml:space="preserve">, Matías Alejandro; Corral Galvano, Sebastián; Ventura, Leandro Ariel; </w:t>
      </w:r>
      <w:proofErr w:type="spellStart"/>
      <w:r w:rsidR="00D92972">
        <w:rPr>
          <w:rFonts w:ascii="Arial" w:hAnsi="Arial" w:cs="Arial"/>
          <w:sz w:val="24"/>
          <w:szCs w:val="24"/>
        </w:rPr>
        <w:t>Iadarola</w:t>
      </w:r>
      <w:proofErr w:type="spellEnd"/>
      <w:r w:rsidR="00D92972">
        <w:rPr>
          <w:rFonts w:ascii="Arial" w:hAnsi="Arial" w:cs="Arial"/>
          <w:sz w:val="24"/>
          <w:szCs w:val="24"/>
        </w:rPr>
        <w:t xml:space="preserve">, Pablo Ariel; Silva </w:t>
      </w:r>
      <w:proofErr w:type="spellStart"/>
      <w:r w:rsidR="00D92972">
        <w:rPr>
          <w:rFonts w:ascii="Arial" w:hAnsi="Arial" w:cs="Arial"/>
          <w:sz w:val="24"/>
          <w:szCs w:val="24"/>
        </w:rPr>
        <w:t>Villella</w:t>
      </w:r>
      <w:proofErr w:type="spellEnd"/>
      <w:r w:rsidR="00D92972">
        <w:rPr>
          <w:rFonts w:ascii="Arial" w:hAnsi="Arial" w:cs="Arial"/>
          <w:sz w:val="24"/>
          <w:szCs w:val="24"/>
        </w:rPr>
        <w:t xml:space="preserve">, María Celeste; </w:t>
      </w:r>
      <w:r w:rsidR="00D92972" w:rsidRPr="00D92972">
        <w:rPr>
          <w:rFonts w:ascii="Arial" w:hAnsi="Arial" w:cs="Arial"/>
          <w:sz w:val="24"/>
          <w:szCs w:val="24"/>
        </w:rPr>
        <w:t>Ojeda, Ka</w:t>
      </w:r>
      <w:r w:rsidR="00D92972">
        <w:rPr>
          <w:rFonts w:ascii="Arial" w:hAnsi="Arial" w:cs="Arial"/>
          <w:sz w:val="24"/>
          <w:szCs w:val="24"/>
        </w:rPr>
        <w:t xml:space="preserve">ren; González Asensio, Pablo Martín; Vargas, Nicolás; </w:t>
      </w:r>
      <w:proofErr w:type="spellStart"/>
      <w:r w:rsidR="00D92972">
        <w:rPr>
          <w:rFonts w:ascii="Arial" w:hAnsi="Arial" w:cs="Arial"/>
          <w:sz w:val="24"/>
          <w:szCs w:val="24"/>
        </w:rPr>
        <w:t>Petrone</w:t>
      </w:r>
      <w:proofErr w:type="spellEnd"/>
      <w:r w:rsidR="00D92972">
        <w:rPr>
          <w:rFonts w:ascii="Arial" w:hAnsi="Arial" w:cs="Arial"/>
          <w:sz w:val="24"/>
          <w:szCs w:val="24"/>
        </w:rPr>
        <w:t xml:space="preserve">, Camila; </w:t>
      </w:r>
      <w:proofErr w:type="spellStart"/>
      <w:r w:rsidR="00D92972">
        <w:rPr>
          <w:rFonts w:ascii="Arial" w:hAnsi="Arial" w:cs="Arial"/>
          <w:sz w:val="24"/>
          <w:szCs w:val="24"/>
        </w:rPr>
        <w:t>Solimando</w:t>
      </w:r>
      <w:proofErr w:type="spellEnd"/>
      <w:r w:rsidR="00D92972">
        <w:rPr>
          <w:rFonts w:ascii="Arial" w:hAnsi="Arial" w:cs="Arial"/>
          <w:sz w:val="24"/>
          <w:szCs w:val="24"/>
        </w:rPr>
        <w:t xml:space="preserve">, Anabel; D’ Ambrosio, Ana Cecilia. </w:t>
      </w:r>
      <w:proofErr w:type="spellStart"/>
      <w:r w:rsidR="00D92972">
        <w:rPr>
          <w:rFonts w:ascii="Arial" w:hAnsi="Arial" w:cs="Arial"/>
          <w:sz w:val="24"/>
          <w:szCs w:val="24"/>
        </w:rPr>
        <w:t>Manzilo</w:t>
      </w:r>
      <w:proofErr w:type="spellEnd"/>
      <w:r w:rsidR="00D92972">
        <w:rPr>
          <w:rFonts w:ascii="Arial" w:hAnsi="Arial" w:cs="Arial"/>
          <w:sz w:val="24"/>
          <w:szCs w:val="24"/>
        </w:rPr>
        <w:t xml:space="preserve">, Lorena Graciela; </w:t>
      </w:r>
      <w:proofErr w:type="spellStart"/>
      <w:r w:rsidR="00D92972">
        <w:rPr>
          <w:rFonts w:ascii="Arial" w:hAnsi="Arial" w:cs="Arial"/>
          <w:sz w:val="24"/>
          <w:szCs w:val="24"/>
        </w:rPr>
        <w:t>Triulzi</w:t>
      </w:r>
      <w:proofErr w:type="spellEnd"/>
      <w:r w:rsidR="00D92972">
        <w:rPr>
          <w:rFonts w:ascii="Arial" w:hAnsi="Arial" w:cs="Arial"/>
          <w:sz w:val="24"/>
          <w:szCs w:val="24"/>
        </w:rPr>
        <w:t>, María Laura;</w:t>
      </w:r>
      <w:r w:rsidR="00D92972" w:rsidRPr="00D92972">
        <w:rPr>
          <w:rFonts w:ascii="Arial" w:hAnsi="Arial" w:cs="Arial"/>
          <w:sz w:val="24"/>
          <w:szCs w:val="24"/>
        </w:rPr>
        <w:t xml:space="preserve"> Campos, </w:t>
      </w:r>
      <w:r w:rsidR="00D92972">
        <w:rPr>
          <w:rFonts w:ascii="Arial" w:hAnsi="Arial" w:cs="Arial"/>
          <w:sz w:val="24"/>
          <w:szCs w:val="24"/>
        </w:rPr>
        <w:t xml:space="preserve">Sara Belén; </w:t>
      </w:r>
      <w:r w:rsidR="00D92972" w:rsidRPr="00D92972">
        <w:rPr>
          <w:rFonts w:ascii="Arial" w:hAnsi="Arial" w:cs="Arial"/>
          <w:sz w:val="24"/>
          <w:szCs w:val="24"/>
        </w:rPr>
        <w:t>Balada, Natalia Soledad</w:t>
      </w:r>
      <w:r w:rsidR="00D92972">
        <w:rPr>
          <w:rFonts w:ascii="Arial" w:hAnsi="Arial" w:cs="Arial"/>
          <w:sz w:val="24"/>
          <w:szCs w:val="24"/>
        </w:rPr>
        <w:t>; Fernández, Leandro Ariel;</w:t>
      </w:r>
      <w:r w:rsidR="00D92972" w:rsidRPr="00D92972">
        <w:rPr>
          <w:rFonts w:ascii="Arial" w:hAnsi="Arial" w:cs="Arial"/>
          <w:sz w:val="24"/>
          <w:szCs w:val="24"/>
        </w:rPr>
        <w:t xml:space="preserve"> Ibarrola, Marí</w:t>
      </w:r>
      <w:r w:rsidR="00D92972">
        <w:rPr>
          <w:rFonts w:ascii="Arial" w:hAnsi="Arial" w:cs="Arial"/>
          <w:sz w:val="24"/>
          <w:szCs w:val="24"/>
        </w:rPr>
        <w:t xml:space="preserve">a Sandra; </w:t>
      </w:r>
      <w:proofErr w:type="spellStart"/>
      <w:r w:rsidR="00D92972" w:rsidRPr="00D92972">
        <w:rPr>
          <w:rFonts w:ascii="Arial" w:hAnsi="Arial" w:cs="Arial"/>
          <w:sz w:val="24"/>
          <w:szCs w:val="24"/>
        </w:rPr>
        <w:t>Ochotorino</w:t>
      </w:r>
      <w:proofErr w:type="spellEnd"/>
      <w:r w:rsidR="00D92972" w:rsidRPr="00D92972">
        <w:rPr>
          <w:rFonts w:ascii="Arial" w:hAnsi="Arial" w:cs="Arial"/>
          <w:sz w:val="24"/>
          <w:szCs w:val="24"/>
        </w:rPr>
        <w:t>, Karina Verónica</w:t>
      </w:r>
      <w:r w:rsidR="00D92972">
        <w:rPr>
          <w:rFonts w:ascii="Arial" w:hAnsi="Arial" w:cs="Arial"/>
          <w:sz w:val="24"/>
          <w:szCs w:val="24"/>
        </w:rPr>
        <w:t xml:space="preserve">; Vergara, Catalina; </w:t>
      </w:r>
      <w:proofErr w:type="spellStart"/>
      <w:r w:rsidR="00D92972">
        <w:rPr>
          <w:rFonts w:ascii="Arial" w:hAnsi="Arial" w:cs="Arial"/>
          <w:sz w:val="24"/>
          <w:szCs w:val="24"/>
        </w:rPr>
        <w:t>Ludueña</w:t>
      </w:r>
      <w:proofErr w:type="spellEnd"/>
      <w:r w:rsidR="00D92972">
        <w:rPr>
          <w:rFonts w:ascii="Arial" w:hAnsi="Arial" w:cs="Arial"/>
          <w:sz w:val="24"/>
          <w:szCs w:val="24"/>
        </w:rPr>
        <w:t>, Luz Aida; Martí</w:t>
      </w:r>
      <w:r w:rsidR="00D92972" w:rsidRPr="00D92972">
        <w:rPr>
          <w:rFonts w:ascii="Arial" w:hAnsi="Arial" w:cs="Arial"/>
          <w:sz w:val="24"/>
          <w:szCs w:val="24"/>
        </w:rPr>
        <w:t>nez Pereira, Gabriela Cecilia</w:t>
      </w:r>
      <w:r w:rsidR="00D92972">
        <w:rPr>
          <w:rFonts w:ascii="Arial" w:hAnsi="Arial" w:cs="Arial"/>
          <w:sz w:val="24"/>
          <w:szCs w:val="24"/>
        </w:rPr>
        <w:t xml:space="preserve">; Santisteban, </w:t>
      </w:r>
      <w:proofErr w:type="spellStart"/>
      <w:r w:rsidR="00D92972">
        <w:rPr>
          <w:rFonts w:ascii="Arial" w:hAnsi="Arial" w:cs="Arial"/>
          <w:sz w:val="24"/>
          <w:szCs w:val="24"/>
        </w:rPr>
        <w:t>Nayla</w:t>
      </w:r>
      <w:proofErr w:type="spellEnd"/>
      <w:r w:rsidR="00D92972">
        <w:rPr>
          <w:rFonts w:ascii="Arial" w:hAnsi="Arial" w:cs="Arial"/>
          <w:sz w:val="24"/>
          <w:szCs w:val="24"/>
        </w:rPr>
        <w:t xml:space="preserve">; </w:t>
      </w:r>
      <w:proofErr w:type="spellStart"/>
      <w:r w:rsidR="00D92972">
        <w:rPr>
          <w:rFonts w:ascii="Arial" w:hAnsi="Arial" w:cs="Arial"/>
          <w:sz w:val="24"/>
          <w:szCs w:val="24"/>
        </w:rPr>
        <w:t>Gulman</w:t>
      </w:r>
      <w:proofErr w:type="spellEnd"/>
      <w:r w:rsidR="00D92972">
        <w:rPr>
          <w:rFonts w:ascii="Arial" w:hAnsi="Arial" w:cs="Arial"/>
          <w:sz w:val="24"/>
          <w:szCs w:val="24"/>
        </w:rPr>
        <w:t xml:space="preserve">, Nicolás; </w:t>
      </w:r>
      <w:r w:rsidR="00D92972" w:rsidRPr="00D92972">
        <w:rPr>
          <w:rFonts w:ascii="Arial" w:hAnsi="Arial" w:cs="Arial"/>
          <w:sz w:val="24"/>
          <w:szCs w:val="24"/>
        </w:rPr>
        <w:t>López, Héctor Raúl</w:t>
      </w:r>
      <w:r w:rsidR="00D92972">
        <w:rPr>
          <w:rFonts w:ascii="Arial" w:hAnsi="Arial" w:cs="Arial"/>
          <w:sz w:val="24"/>
          <w:szCs w:val="24"/>
        </w:rPr>
        <w:t xml:space="preserve">. </w:t>
      </w:r>
    </w:p>
    <w:p w:rsidR="00E23970" w:rsidRPr="00E23970" w:rsidRDefault="00E23970" w:rsidP="00E23970">
      <w:pPr>
        <w:rPr>
          <w:rFonts w:ascii="Arial" w:hAnsi="Arial" w:cs="Arial"/>
          <w:b/>
          <w:sz w:val="24"/>
          <w:szCs w:val="24"/>
          <w:lang w:val="es-AR"/>
        </w:rPr>
      </w:pPr>
      <w:r w:rsidRPr="00E23970">
        <w:rPr>
          <w:rFonts w:ascii="Arial" w:hAnsi="Arial" w:cs="Arial"/>
          <w:b/>
          <w:sz w:val="24"/>
          <w:szCs w:val="24"/>
          <w:lang w:val="es-AR"/>
        </w:rPr>
        <w:t>Resumen</w:t>
      </w:r>
    </w:p>
    <w:p w:rsidR="00D92972" w:rsidRPr="00D92972" w:rsidRDefault="00D92972" w:rsidP="0002376D">
      <w:pPr>
        <w:jc w:val="both"/>
        <w:rPr>
          <w:rFonts w:ascii="Arial" w:hAnsi="Arial" w:cs="Arial"/>
          <w:sz w:val="24"/>
          <w:szCs w:val="24"/>
          <w:lang w:val="es-AR"/>
        </w:rPr>
      </w:pPr>
      <w:r w:rsidRPr="00D92972">
        <w:rPr>
          <w:rFonts w:ascii="Arial" w:hAnsi="Arial" w:cs="Arial"/>
          <w:sz w:val="24"/>
          <w:szCs w:val="24"/>
          <w:lang w:val="es-AR"/>
        </w:rPr>
        <w:t>La investigación propone interrogarse sobre el servicio de justicia, en especial sobre la justicia penal nacional. Pretendemos acercarnos a comprender cómo jueces/zas resuelven las tensiones entre los discursos tradicionales, que le asignan a la función judicial el lugar de control y castigo de súbditos potencialmente peligrosos para el orden social, y los discursos que se proponen asignarle el deber de configurar un espacio para gestionar conflictos, sobre todo los de menor intensidad que son, además, los que habitualmente capta el sistema</w:t>
      </w:r>
      <w:r>
        <w:rPr>
          <w:rFonts w:ascii="Arial" w:hAnsi="Arial" w:cs="Arial"/>
          <w:sz w:val="24"/>
          <w:szCs w:val="24"/>
          <w:lang w:val="es-AR"/>
        </w:rPr>
        <w:t>.</w:t>
      </w:r>
      <w:r w:rsidRPr="00D92972">
        <w:rPr>
          <w:rFonts w:ascii="Arial" w:hAnsi="Arial" w:cs="Arial"/>
          <w:sz w:val="24"/>
          <w:szCs w:val="24"/>
          <w:lang w:val="es-AR"/>
        </w:rPr>
        <w:t xml:space="preserve"> </w:t>
      </w:r>
    </w:p>
    <w:p w:rsidR="00D92972" w:rsidRPr="00D92972" w:rsidRDefault="00D92972" w:rsidP="0002376D">
      <w:pPr>
        <w:jc w:val="both"/>
        <w:rPr>
          <w:rFonts w:ascii="Arial" w:hAnsi="Arial" w:cs="Arial"/>
          <w:sz w:val="24"/>
          <w:szCs w:val="24"/>
          <w:lang w:val="es-AR"/>
        </w:rPr>
      </w:pPr>
      <w:r w:rsidRPr="00D92972">
        <w:rPr>
          <w:rFonts w:ascii="Arial" w:hAnsi="Arial" w:cs="Arial"/>
          <w:sz w:val="24"/>
          <w:szCs w:val="24"/>
          <w:lang w:val="es-AR"/>
        </w:rPr>
        <w:t xml:space="preserve">Las luchas que se dan en el campo legislativo y académico han logrado hacer emerger discursos que proponen horadar las líneas tradicionales de la </w:t>
      </w:r>
      <w:proofErr w:type="spellStart"/>
      <w:r w:rsidRPr="00D92972">
        <w:rPr>
          <w:rFonts w:ascii="Arial" w:hAnsi="Arial" w:cs="Arial"/>
          <w:sz w:val="24"/>
          <w:szCs w:val="24"/>
          <w:lang w:val="es-AR"/>
        </w:rPr>
        <w:t>punitividad</w:t>
      </w:r>
      <w:proofErr w:type="spellEnd"/>
      <w:r w:rsidRPr="00D92972">
        <w:rPr>
          <w:rFonts w:ascii="Arial" w:hAnsi="Arial" w:cs="Arial"/>
          <w:sz w:val="24"/>
          <w:szCs w:val="24"/>
          <w:lang w:val="es-AR"/>
        </w:rPr>
        <w:t xml:space="preserve"> estatal, visibilizando no sólo los conflictos sino también la selectividad del sistema. Sin embargo, esas modificaciones o propuestas no tienen una directa receptividad en las prácticas de quienes ejercen una función judicial.</w:t>
      </w:r>
    </w:p>
    <w:p w:rsidR="00D92972" w:rsidRPr="00D92972" w:rsidRDefault="00D92972" w:rsidP="0002376D">
      <w:pPr>
        <w:jc w:val="both"/>
        <w:rPr>
          <w:rFonts w:ascii="Arial" w:hAnsi="Arial" w:cs="Arial"/>
          <w:sz w:val="24"/>
          <w:szCs w:val="24"/>
          <w:lang w:val="es-AR"/>
        </w:rPr>
      </w:pPr>
      <w:r w:rsidRPr="00D92972">
        <w:rPr>
          <w:rFonts w:ascii="Arial" w:hAnsi="Arial" w:cs="Arial"/>
          <w:sz w:val="24"/>
          <w:szCs w:val="24"/>
          <w:lang w:val="es-AR"/>
        </w:rPr>
        <w:t xml:space="preserve">Los </w:t>
      </w:r>
      <w:proofErr w:type="spellStart"/>
      <w:r w:rsidRPr="00D92972">
        <w:rPr>
          <w:rFonts w:ascii="Arial" w:hAnsi="Arial" w:cs="Arial"/>
          <w:sz w:val="24"/>
          <w:szCs w:val="24"/>
          <w:lang w:val="es-AR"/>
        </w:rPr>
        <w:t>monitoreos</w:t>
      </w:r>
      <w:proofErr w:type="spellEnd"/>
      <w:r w:rsidRPr="00D92972">
        <w:rPr>
          <w:rFonts w:ascii="Arial" w:hAnsi="Arial" w:cs="Arial"/>
          <w:sz w:val="24"/>
          <w:szCs w:val="24"/>
          <w:lang w:val="es-AR"/>
        </w:rPr>
        <w:t xml:space="preserve"> sobre las reformas procesales han generado información sobre la forma más adecuada de legislar e implementarlas, para lograr una mayor eficiencia del sistema. Sin embargo</w:t>
      </w:r>
      <w:r w:rsidR="0002376D">
        <w:rPr>
          <w:rFonts w:ascii="Arial" w:hAnsi="Arial" w:cs="Arial"/>
          <w:sz w:val="24"/>
          <w:szCs w:val="24"/>
          <w:lang w:val="es-AR"/>
        </w:rPr>
        <w:t>, con similares diseños normati</w:t>
      </w:r>
      <w:r w:rsidRPr="00D92972">
        <w:rPr>
          <w:rFonts w:ascii="Arial" w:hAnsi="Arial" w:cs="Arial"/>
          <w:sz w:val="24"/>
          <w:szCs w:val="24"/>
          <w:lang w:val="es-AR"/>
        </w:rPr>
        <w:t>vos, se ha observado que el funcionamiento práctico muestra similitudes, pero también marcadas diferencias entre sí que, evidentemente, no pueden adjudicarse exclusivamente a la regulación legal.</w:t>
      </w:r>
    </w:p>
    <w:p w:rsidR="00D92972" w:rsidRPr="00D92972" w:rsidRDefault="00D92972" w:rsidP="0002376D">
      <w:pPr>
        <w:jc w:val="both"/>
        <w:rPr>
          <w:rFonts w:ascii="Arial" w:hAnsi="Arial" w:cs="Arial"/>
          <w:sz w:val="24"/>
          <w:szCs w:val="24"/>
          <w:lang w:val="es-AR"/>
        </w:rPr>
      </w:pPr>
      <w:r w:rsidRPr="00D92972">
        <w:rPr>
          <w:rFonts w:ascii="Arial" w:hAnsi="Arial" w:cs="Arial"/>
          <w:sz w:val="24"/>
          <w:szCs w:val="24"/>
          <w:lang w:val="es-AR"/>
        </w:rPr>
        <w:t>Por ello, pretendemos relevar de qué manera jueces/zas de tribunales ora-les penales del fuero nacional conciben su función, cómo se resisten a los cambios legislativos o cómo se adaptan a ellos, y cuánto se correlacionan sus prácticas con sus discursos.</w:t>
      </w:r>
    </w:p>
    <w:p w:rsidR="00D92972" w:rsidRPr="00D92972" w:rsidRDefault="00D92972" w:rsidP="0002376D">
      <w:pPr>
        <w:jc w:val="both"/>
        <w:rPr>
          <w:rFonts w:ascii="Arial" w:hAnsi="Arial" w:cs="Arial"/>
          <w:sz w:val="24"/>
          <w:szCs w:val="24"/>
          <w:lang w:val="es-AR"/>
        </w:rPr>
      </w:pPr>
      <w:r w:rsidRPr="00D92972">
        <w:rPr>
          <w:rFonts w:ascii="Arial" w:hAnsi="Arial" w:cs="Arial"/>
          <w:sz w:val="24"/>
          <w:szCs w:val="24"/>
          <w:lang w:val="es-AR"/>
        </w:rPr>
        <w:lastRenderedPageBreak/>
        <w:t xml:space="preserve">Consideramos que comprendiendo las tradiciones, y cómo ellas configuran e impactan en quienes son actores, es posible aprehender las características del campo y el </w:t>
      </w:r>
      <w:proofErr w:type="spellStart"/>
      <w:r w:rsidRPr="00D92972">
        <w:rPr>
          <w:rFonts w:ascii="Arial" w:hAnsi="Arial" w:cs="Arial"/>
          <w:sz w:val="24"/>
          <w:szCs w:val="24"/>
          <w:lang w:val="es-AR"/>
        </w:rPr>
        <w:t>habitus</w:t>
      </w:r>
      <w:proofErr w:type="spellEnd"/>
      <w:r w:rsidRPr="00D92972">
        <w:rPr>
          <w:rFonts w:ascii="Arial" w:hAnsi="Arial" w:cs="Arial"/>
          <w:sz w:val="24"/>
          <w:szCs w:val="24"/>
          <w:lang w:val="es-AR"/>
        </w:rPr>
        <w:t xml:space="preserve"> que allí se desarrolla. </w:t>
      </w:r>
    </w:p>
    <w:p w:rsidR="00D92972" w:rsidRPr="00D92972" w:rsidRDefault="00D92972" w:rsidP="0002376D">
      <w:pPr>
        <w:jc w:val="both"/>
        <w:rPr>
          <w:rFonts w:ascii="Arial" w:hAnsi="Arial" w:cs="Arial"/>
          <w:sz w:val="24"/>
          <w:szCs w:val="24"/>
          <w:lang w:val="es-AR"/>
        </w:rPr>
      </w:pPr>
      <w:r w:rsidRPr="00D92972">
        <w:rPr>
          <w:rFonts w:ascii="Arial" w:hAnsi="Arial" w:cs="Arial"/>
          <w:sz w:val="24"/>
          <w:szCs w:val="24"/>
          <w:lang w:val="es-AR"/>
        </w:rPr>
        <w:t>Entendemos que estas comprensiones son insumos imprescindibles para procurar incidir sobre las prácticas del servicio de justicia. Es por ello, que nos proponemos generar información sobre algunos de esos conglomerados opacos, y en especial, sobre la forma en que la tensión infracción-conflicto configura las posiciones de agentes en este campo específico.</w:t>
      </w:r>
    </w:p>
    <w:p w:rsidR="00D92972" w:rsidRPr="00D92972" w:rsidRDefault="00D92972" w:rsidP="0002376D">
      <w:pPr>
        <w:jc w:val="both"/>
        <w:rPr>
          <w:rFonts w:ascii="Arial" w:hAnsi="Arial" w:cs="Arial"/>
          <w:sz w:val="24"/>
          <w:szCs w:val="24"/>
          <w:lang w:val="es-AR"/>
        </w:rPr>
      </w:pPr>
      <w:r w:rsidRPr="00D92972">
        <w:rPr>
          <w:rFonts w:ascii="Arial" w:hAnsi="Arial" w:cs="Arial"/>
          <w:sz w:val="24"/>
          <w:szCs w:val="24"/>
          <w:lang w:val="es-AR"/>
        </w:rPr>
        <w:t xml:space="preserve">El objetivo de estas investigaciones y de los trabajos vinculados, radica en poder aportar elementos para diseñar intervenciones que tiendan a desandar las lógicas de selectividad tradicional del sistema penal, como mecanismo de </w:t>
      </w:r>
      <w:proofErr w:type="spellStart"/>
      <w:r w:rsidRPr="00D92972">
        <w:rPr>
          <w:rFonts w:ascii="Arial" w:hAnsi="Arial" w:cs="Arial"/>
          <w:sz w:val="24"/>
          <w:szCs w:val="24"/>
          <w:lang w:val="es-AR"/>
        </w:rPr>
        <w:t>punitividad</w:t>
      </w:r>
      <w:proofErr w:type="spellEnd"/>
      <w:r w:rsidRPr="00D92972">
        <w:rPr>
          <w:rFonts w:ascii="Arial" w:hAnsi="Arial" w:cs="Arial"/>
          <w:sz w:val="24"/>
          <w:szCs w:val="24"/>
          <w:lang w:val="es-AR"/>
        </w:rPr>
        <w:t xml:space="preserve"> y de </w:t>
      </w:r>
      <w:proofErr w:type="spellStart"/>
      <w:r w:rsidRPr="00D92972">
        <w:rPr>
          <w:rFonts w:ascii="Arial" w:hAnsi="Arial" w:cs="Arial"/>
          <w:sz w:val="24"/>
          <w:szCs w:val="24"/>
          <w:lang w:val="es-AR"/>
        </w:rPr>
        <w:t>disciplinamiento</w:t>
      </w:r>
      <w:proofErr w:type="spellEnd"/>
      <w:r w:rsidRPr="00D92972">
        <w:rPr>
          <w:rFonts w:ascii="Arial" w:hAnsi="Arial" w:cs="Arial"/>
          <w:sz w:val="24"/>
          <w:szCs w:val="24"/>
          <w:lang w:val="es-AR"/>
        </w:rPr>
        <w:t xml:space="preserve"> respecto de los sectores excluidos del sistema de producción. </w:t>
      </w:r>
    </w:p>
    <w:p w:rsidR="00D92972" w:rsidRPr="00D92972" w:rsidRDefault="00D92972" w:rsidP="0002376D">
      <w:pPr>
        <w:jc w:val="both"/>
        <w:rPr>
          <w:rFonts w:ascii="Arial" w:hAnsi="Arial" w:cs="Arial"/>
          <w:sz w:val="24"/>
          <w:szCs w:val="24"/>
          <w:lang w:val="es-AR"/>
        </w:rPr>
      </w:pPr>
      <w:r w:rsidRPr="00D92972">
        <w:rPr>
          <w:rFonts w:ascii="Arial" w:hAnsi="Arial" w:cs="Arial"/>
          <w:sz w:val="24"/>
          <w:szCs w:val="24"/>
          <w:lang w:val="es-AR"/>
        </w:rPr>
        <w:t>Consideramos que la línea más propicia para ello es apoyar abordajes que intenten modificar el funcionamiento del sistema despegándose de una racionalidad punitiva por infracción a la ley, propia de la relación soberano-súbdito; y a su vez, modificando el tipo de conflictos que el sistema capta.</w:t>
      </w:r>
    </w:p>
    <w:p w:rsidR="001658DD" w:rsidRPr="00E23970" w:rsidRDefault="00D92972" w:rsidP="0002376D">
      <w:pPr>
        <w:jc w:val="both"/>
        <w:rPr>
          <w:rFonts w:ascii="Arial" w:hAnsi="Arial" w:cs="Arial"/>
          <w:sz w:val="24"/>
          <w:szCs w:val="24"/>
        </w:rPr>
      </w:pPr>
      <w:r w:rsidRPr="00D92972">
        <w:rPr>
          <w:rFonts w:ascii="Arial" w:hAnsi="Arial" w:cs="Arial"/>
          <w:sz w:val="24"/>
          <w:szCs w:val="24"/>
          <w:lang w:val="es-AR"/>
        </w:rPr>
        <w:t>Asimismo, es imprescindible que, respecto de los conflictos de baja intensidad social, se generen espacios donde las personas involucradas puedan reflexionar, debatir, rearmar lazos sociales y solucionar esos conflictos, en lo posible por fuera del ámbito penal, pero sin que implique arrojarlos a espacios de desprotección estatal.</w:t>
      </w:r>
    </w:p>
    <w:sectPr w:rsidR="001658DD" w:rsidRPr="00E23970">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E0F" w:rsidRDefault="00EC1E0F" w:rsidP="00E23970">
      <w:pPr>
        <w:spacing w:after="0" w:line="240" w:lineRule="auto"/>
      </w:pPr>
      <w:r>
        <w:separator/>
      </w:r>
    </w:p>
  </w:endnote>
  <w:endnote w:type="continuationSeparator" w:id="0">
    <w:p w:rsidR="00EC1E0F" w:rsidRDefault="00EC1E0F" w:rsidP="00E23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E0F" w:rsidRDefault="00EC1E0F" w:rsidP="00E23970">
      <w:pPr>
        <w:spacing w:after="0" w:line="240" w:lineRule="auto"/>
      </w:pPr>
      <w:r>
        <w:separator/>
      </w:r>
    </w:p>
  </w:footnote>
  <w:footnote w:type="continuationSeparator" w:id="0">
    <w:p w:rsidR="00EC1E0F" w:rsidRDefault="00EC1E0F" w:rsidP="00E239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970" w:rsidRDefault="00E23970" w:rsidP="00E23970">
    <w:pPr>
      <w:pStyle w:val="Encabezado"/>
      <w:ind w:firstLine="708"/>
    </w:pPr>
    <w:r>
      <w:rPr>
        <w:noProof/>
        <w:lang w:val="es-AR" w:eastAsia="es-AR"/>
      </w:rPr>
      <w:drawing>
        <wp:inline distT="0" distB="0" distL="0" distR="0" wp14:anchorId="0DCD0CF3">
          <wp:extent cx="743585" cy="2559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585" cy="255905"/>
                  </a:xfrm>
                  <a:prstGeom prst="rect">
                    <a:avLst/>
                  </a:prstGeom>
                  <a:noFill/>
                </pic:spPr>
              </pic:pic>
            </a:graphicData>
          </a:graphic>
        </wp:inline>
      </w:drawing>
    </w:r>
  </w:p>
  <w:p w:rsidR="00E23970" w:rsidRDefault="00E23970" w:rsidP="00E23970">
    <w:pPr>
      <w:pStyle w:val="Encabezado"/>
      <w:ind w:firstLine="708"/>
      <w:jc w:val="right"/>
    </w:pPr>
    <w:r>
      <w:t>Instituto Interdisciplinario de Estudios Constitucionales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7541EE"/>
    <w:multiLevelType w:val="hybridMultilevel"/>
    <w:tmpl w:val="323C71E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70"/>
    <w:rsid w:val="0002376D"/>
    <w:rsid w:val="001658DD"/>
    <w:rsid w:val="003C71F7"/>
    <w:rsid w:val="00412607"/>
    <w:rsid w:val="00514B39"/>
    <w:rsid w:val="006E5B33"/>
    <w:rsid w:val="007D3F13"/>
    <w:rsid w:val="0082755F"/>
    <w:rsid w:val="00CB7ED1"/>
    <w:rsid w:val="00D17DA6"/>
    <w:rsid w:val="00D92972"/>
    <w:rsid w:val="00DF39CA"/>
    <w:rsid w:val="00E23970"/>
    <w:rsid w:val="00EC1E0F"/>
    <w:rsid w:val="00F409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23970"/>
    <w:rPr>
      <w:color w:val="0563C1" w:themeColor="hyperlink"/>
      <w:u w:val="single"/>
    </w:rPr>
  </w:style>
  <w:style w:type="paragraph" w:styleId="Encabezado">
    <w:name w:val="header"/>
    <w:basedOn w:val="Normal"/>
    <w:link w:val="EncabezadoCar"/>
    <w:uiPriority w:val="99"/>
    <w:unhideWhenUsed/>
    <w:rsid w:val="00E239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3970"/>
  </w:style>
  <w:style w:type="paragraph" w:styleId="Piedepgina">
    <w:name w:val="footer"/>
    <w:basedOn w:val="Normal"/>
    <w:link w:val="PiedepginaCar"/>
    <w:uiPriority w:val="99"/>
    <w:unhideWhenUsed/>
    <w:rsid w:val="00E239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3970"/>
  </w:style>
  <w:style w:type="paragraph" w:styleId="Sinespaciado">
    <w:name w:val="No Spacing"/>
    <w:uiPriority w:val="1"/>
    <w:qFormat/>
    <w:rsid w:val="00E23970"/>
    <w:pPr>
      <w:spacing w:after="0" w:line="240" w:lineRule="auto"/>
    </w:pPr>
    <w:rPr>
      <w:rFonts w:ascii="Calibri" w:eastAsia="Batang" w:hAnsi="Calibri" w:cs="Times New Roman"/>
      <w:lang w:val="es-ES"/>
    </w:rPr>
  </w:style>
  <w:style w:type="paragraph" w:styleId="Textodeglobo">
    <w:name w:val="Balloon Text"/>
    <w:basedOn w:val="Normal"/>
    <w:link w:val="TextodegloboCar"/>
    <w:uiPriority w:val="99"/>
    <w:semiHidden/>
    <w:unhideWhenUsed/>
    <w:rsid w:val="004126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26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23970"/>
    <w:rPr>
      <w:color w:val="0563C1" w:themeColor="hyperlink"/>
      <w:u w:val="single"/>
    </w:rPr>
  </w:style>
  <w:style w:type="paragraph" w:styleId="Encabezado">
    <w:name w:val="header"/>
    <w:basedOn w:val="Normal"/>
    <w:link w:val="EncabezadoCar"/>
    <w:uiPriority w:val="99"/>
    <w:unhideWhenUsed/>
    <w:rsid w:val="00E239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3970"/>
  </w:style>
  <w:style w:type="paragraph" w:styleId="Piedepgina">
    <w:name w:val="footer"/>
    <w:basedOn w:val="Normal"/>
    <w:link w:val="PiedepginaCar"/>
    <w:uiPriority w:val="99"/>
    <w:unhideWhenUsed/>
    <w:rsid w:val="00E239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3970"/>
  </w:style>
  <w:style w:type="paragraph" w:styleId="Sinespaciado">
    <w:name w:val="No Spacing"/>
    <w:uiPriority w:val="1"/>
    <w:qFormat/>
    <w:rsid w:val="00E23970"/>
    <w:pPr>
      <w:spacing w:after="0" w:line="240" w:lineRule="auto"/>
    </w:pPr>
    <w:rPr>
      <w:rFonts w:ascii="Calibri" w:eastAsia="Batang" w:hAnsi="Calibri" w:cs="Times New Roman"/>
      <w:lang w:val="es-ES"/>
    </w:rPr>
  </w:style>
  <w:style w:type="paragraph" w:styleId="Textodeglobo">
    <w:name w:val="Balloon Text"/>
    <w:basedOn w:val="Normal"/>
    <w:link w:val="TextodegloboCar"/>
    <w:uiPriority w:val="99"/>
    <w:semiHidden/>
    <w:unhideWhenUsed/>
    <w:rsid w:val="004126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26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3389</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Laura Culot</cp:lastModifiedBy>
  <cp:revision>2</cp:revision>
  <dcterms:created xsi:type="dcterms:W3CDTF">2019-05-02T19:23:00Z</dcterms:created>
  <dcterms:modified xsi:type="dcterms:W3CDTF">2019-05-02T19:23:00Z</dcterms:modified>
</cp:coreProperties>
</file>