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C1" w:rsidRPr="00FA6E42" w:rsidRDefault="006321C1" w:rsidP="006321C1">
      <w:pPr>
        <w:spacing w:line="480" w:lineRule="auto"/>
        <w:jc w:val="both"/>
        <w:rPr>
          <w:rFonts w:ascii="Arial" w:hAnsi="Arial" w:cs="Arial"/>
          <w:sz w:val="23"/>
          <w:szCs w:val="23"/>
          <w:lang w:val="es-AR"/>
        </w:rPr>
      </w:pPr>
      <w:r w:rsidRPr="00FA6E42">
        <w:rPr>
          <w:rFonts w:ascii="Arial" w:hAnsi="Arial" w:cs="Arial"/>
          <w:sz w:val="23"/>
          <w:szCs w:val="23"/>
          <w:lang w:val="es-AR"/>
        </w:rPr>
        <w:tab/>
      </w:r>
      <w:r w:rsidRPr="00FA6E42">
        <w:rPr>
          <w:rFonts w:ascii="Arial" w:hAnsi="Arial" w:cs="Arial"/>
          <w:sz w:val="23"/>
          <w:szCs w:val="23"/>
          <w:lang w:val="es-AR"/>
        </w:rPr>
        <w:tab/>
      </w:r>
      <w:r w:rsidRPr="00FA6E42">
        <w:rPr>
          <w:rFonts w:ascii="Arial" w:hAnsi="Arial" w:cs="Arial"/>
          <w:sz w:val="23"/>
          <w:szCs w:val="23"/>
          <w:lang w:val="es-AR"/>
        </w:rPr>
        <w:tab/>
      </w:r>
      <w:r w:rsidRPr="00FA6E42">
        <w:rPr>
          <w:rFonts w:ascii="Arial" w:hAnsi="Arial" w:cs="Arial"/>
          <w:sz w:val="23"/>
          <w:szCs w:val="23"/>
          <w:lang w:val="es-AR"/>
        </w:rPr>
        <w:tab/>
      </w:r>
      <w:r w:rsidRPr="00FA6E42">
        <w:rPr>
          <w:rFonts w:ascii="Arial" w:hAnsi="Arial" w:cs="Arial"/>
          <w:sz w:val="23"/>
          <w:szCs w:val="23"/>
          <w:lang w:val="es-AR"/>
        </w:rPr>
        <w:tab/>
      </w:r>
      <w:r w:rsidRPr="00FA6E42">
        <w:rPr>
          <w:rFonts w:ascii="Arial" w:hAnsi="Arial" w:cs="Arial"/>
          <w:sz w:val="23"/>
          <w:szCs w:val="23"/>
          <w:lang w:val="es-AR"/>
        </w:rPr>
        <w:tab/>
      </w:r>
      <w:r w:rsidRPr="00FA6E42">
        <w:rPr>
          <w:rFonts w:ascii="Arial" w:hAnsi="Arial" w:cs="Arial"/>
          <w:sz w:val="23"/>
          <w:szCs w:val="23"/>
          <w:lang w:val="es-AR"/>
        </w:rPr>
        <w:tab/>
        <w:t xml:space="preserve">José C. Paz, </w:t>
      </w:r>
    </w:p>
    <w:p w:rsidR="006321C1" w:rsidRPr="00FA6E42" w:rsidRDefault="006321C1" w:rsidP="006321C1">
      <w:pPr>
        <w:spacing w:line="480" w:lineRule="auto"/>
        <w:jc w:val="both"/>
        <w:rPr>
          <w:rFonts w:ascii="Arial" w:hAnsi="Arial" w:cs="Arial"/>
          <w:b/>
          <w:sz w:val="23"/>
          <w:szCs w:val="23"/>
          <w:lang w:val="es-AR"/>
        </w:rPr>
      </w:pPr>
    </w:p>
    <w:p w:rsidR="006321C1" w:rsidRPr="00FA6E42" w:rsidRDefault="006321C1" w:rsidP="006321C1">
      <w:pPr>
        <w:spacing w:line="480" w:lineRule="auto"/>
        <w:ind w:firstLine="708"/>
        <w:jc w:val="both"/>
        <w:rPr>
          <w:rFonts w:ascii="Arial" w:hAnsi="Arial" w:cs="Arial"/>
          <w:b/>
          <w:sz w:val="23"/>
          <w:szCs w:val="23"/>
          <w:lang w:val="es-AR"/>
        </w:rPr>
      </w:pPr>
      <w:r w:rsidRPr="00FA6E42">
        <w:rPr>
          <w:rFonts w:ascii="Arial" w:hAnsi="Arial" w:cs="Arial"/>
          <w:b/>
          <w:sz w:val="23"/>
          <w:szCs w:val="23"/>
          <w:lang w:val="es-AR"/>
        </w:rPr>
        <w:t>VISTO:</w:t>
      </w:r>
    </w:p>
    <w:p w:rsidR="006321C1" w:rsidRPr="00FA6E42" w:rsidRDefault="006321C1" w:rsidP="006321C1">
      <w:pPr>
        <w:spacing w:line="480" w:lineRule="auto"/>
        <w:jc w:val="both"/>
        <w:rPr>
          <w:rFonts w:ascii="Arial" w:hAnsi="Arial" w:cs="Arial"/>
          <w:sz w:val="23"/>
          <w:szCs w:val="23"/>
          <w:lang w:val="es-AR"/>
        </w:rPr>
      </w:pPr>
      <w:r w:rsidRPr="00FA6E42">
        <w:rPr>
          <w:rFonts w:ascii="Arial" w:hAnsi="Arial" w:cs="Arial"/>
          <w:sz w:val="23"/>
          <w:szCs w:val="23"/>
          <w:lang w:val="es-AR"/>
        </w:rPr>
        <w:tab/>
      </w:r>
      <w:r w:rsidR="00786E1A">
        <w:rPr>
          <w:rFonts w:ascii="Arial" w:hAnsi="Arial" w:cs="Arial"/>
          <w:sz w:val="23"/>
          <w:szCs w:val="23"/>
          <w:lang w:val="es-AR"/>
        </w:rPr>
        <w:t>L</w:t>
      </w:r>
      <w:r w:rsidR="00786E1A" w:rsidRPr="00786E1A">
        <w:rPr>
          <w:rFonts w:ascii="Arial" w:hAnsi="Arial" w:cs="Arial"/>
          <w:sz w:val="23"/>
          <w:szCs w:val="23"/>
          <w:lang w:val="es-AR"/>
        </w:rPr>
        <w:t>a situación presupuestaria del sistema universitario público argentino</w:t>
      </w:r>
      <w:r w:rsidR="00786E1A">
        <w:rPr>
          <w:rFonts w:ascii="Arial" w:hAnsi="Arial" w:cs="Arial"/>
          <w:sz w:val="23"/>
          <w:szCs w:val="23"/>
          <w:lang w:val="es-AR"/>
        </w:rPr>
        <w:t>, y</w:t>
      </w:r>
    </w:p>
    <w:p w:rsidR="00786E1A" w:rsidRDefault="00786E1A" w:rsidP="006321C1">
      <w:pPr>
        <w:spacing w:line="480" w:lineRule="auto"/>
        <w:ind w:firstLine="708"/>
        <w:jc w:val="both"/>
        <w:rPr>
          <w:rFonts w:ascii="Arial" w:hAnsi="Arial" w:cs="Arial"/>
          <w:b/>
          <w:sz w:val="23"/>
          <w:szCs w:val="23"/>
          <w:lang w:val="es-AR"/>
        </w:rPr>
      </w:pPr>
    </w:p>
    <w:p w:rsidR="006321C1" w:rsidRPr="00FA6E42" w:rsidRDefault="00A24FA4" w:rsidP="006321C1">
      <w:pPr>
        <w:spacing w:line="480" w:lineRule="auto"/>
        <w:ind w:firstLine="708"/>
        <w:jc w:val="both"/>
        <w:rPr>
          <w:rFonts w:ascii="Arial" w:hAnsi="Arial" w:cs="Arial"/>
          <w:b/>
          <w:sz w:val="23"/>
          <w:szCs w:val="23"/>
          <w:lang w:val="es-AR"/>
        </w:rPr>
      </w:pPr>
      <w:r w:rsidRPr="00FA6E42">
        <w:rPr>
          <w:rFonts w:ascii="Arial" w:hAnsi="Arial" w:cs="Arial"/>
          <w:b/>
          <w:sz w:val="23"/>
          <w:szCs w:val="23"/>
          <w:lang w:val="es-AR"/>
        </w:rPr>
        <w:t>CONSIDERANDO</w:t>
      </w:r>
      <w:r w:rsidR="006321C1" w:rsidRPr="00FA6E42">
        <w:rPr>
          <w:rFonts w:ascii="Arial" w:hAnsi="Arial" w:cs="Arial"/>
          <w:b/>
          <w:sz w:val="23"/>
          <w:szCs w:val="23"/>
          <w:lang w:val="es-AR"/>
        </w:rPr>
        <w:t>:</w:t>
      </w:r>
    </w:p>
    <w:p w:rsidR="00786E1A" w:rsidRPr="00786E1A" w:rsidRDefault="00FA401B" w:rsidP="00786E1A">
      <w:pPr>
        <w:spacing w:line="480" w:lineRule="auto"/>
        <w:jc w:val="both"/>
        <w:rPr>
          <w:rFonts w:ascii="Arial" w:hAnsi="Arial" w:cs="Arial"/>
          <w:sz w:val="23"/>
          <w:szCs w:val="23"/>
          <w:lang w:val="es-AR"/>
        </w:rPr>
      </w:pPr>
      <w:r w:rsidRPr="00FA6E42">
        <w:rPr>
          <w:rFonts w:ascii="Arial" w:hAnsi="Arial" w:cs="Arial"/>
          <w:sz w:val="23"/>
          <w:szCs w:val="23"/>
          <w:lang w:val="es-AR"/>
        </w:rPr>
        <w:tab/>
      </w:r>
      <w:r w:rsidR="00786E1A" w:rsidRPr="00786E1A">
        <w:rPr>
          <w:rFonts w:ascii="Arial" w:hAnsi="Arial" w:cs="Arial"/>
          <w:sz w:val="23"/>
          <w:szCs w:val="23"/>
          <w:lang w:val="es-AR"/>
        </w:rPr>
        <w:t xml:space="preserve">Que </w:t>
      </w:r>
      <w:proofErr w:type="gramStart"/>
      <w:r w:rsidR="00786E1A" w:rsidRPr="00786E1A">
        <w:rPr>
          <w:rFonts w:ascii="Arial" w:hAnsi="Arial" w:cs="Arial"/>
          <w:sz w:val="23"/>
          <w:szCs w:val="23"/>
          <w:lang w:val="es-AR"/>
        </w:rPr>
        <w:t>los gremios docente</w:t>
      </w:r>
      <w:proofErr w:type="gramEnd"/>
      <w:r w:rsidR="00786E1A" w:rsidRPr="00786E1A">
        <w:rPr>
          <w:rFonts w:ascii="Arial" w:hAnsi="Arial" w:cs="Arial"/>
          <w:sz w:val="23"/>
          <w:szCs w:val="23"/>
          <w:lang w:val="es-AR"/>
        </w:rPr>
        <w:t xml:space="preserve"> y </w:t>
      </w:r>
      <w:proofErr w:type="spellStart"/>
      <w:r w:rsidR="00786E1A" w:rsidRPr="00786E1A">
        <w:rPr>
          <w:rFonts w:ascii="Arial" w:hAnsi="Arial" w:cs="Arial"/>
          <w:sz w:val="23"/>
          <w:szCs w:val="23"/>
          <w:lang w:val="es-AR"/>
        </w:rPr>
        <w:t>nodocente</w:t>
      </w:r>
      <w:proofErr w:type="spellEnd"/>
      <w:r w:rsidR="00786E1A" w:rsidRPr="00786E1A">
        <w:rPr>
          <w:rFonts w:ascii="Arial" w:hAnsi="Arial" w:cs="Arial"/>
          <w:sz w:val="23"/>
          <w:szCs w:val="23"/>
          <w:lang w:val="es-AR"/>
        </w:rPr>
        <w:t xml:space="preserve"> y diversas asociaciones estudiantiles de la Universidad Nacional de José C. Paz han expuesto su preocupación por la situación presupuestaria del sistema universitario público argentino.</w:t>
      </w:r>
    </w:p>
    <w:p w:rsidR="00786E1A" w:rsidRPr="00786E1A" w:rsidRDefault="00786E1A" w:rsidP="00786E1A">
      <w:pPr>
        <w:spacing w:line="480" w:lineRule="auto"/>
        <w:ind w:firstLine="708"/>
        <w:jc w:val="both"/>
        <w:rPr>
          <w:rFonts w:ascii="Arial" w:hAnsi="Arial" w:cs="Arial"/>
          <w:sz w:val="23"/>
          <w:szCs w:val="23"/>
          <w:lang w:val="es-AR"/>
        </w:rPr>
      </w:pPr>
      <w:r w:rsidRPr="00786E1A">
        <w:rPr>
          <w:rFonts w:ascii="Arial" w:hAnsi="Arial" w:cs="Arial"/>
          <w:sz w:val="23"/>
          <w:szCs w:val="23"/>
          <w:lang w:val="es-AR"/>
        </w:rPr>
        <w:t xml:space="preserve">Que desde el retorno de la democracia en Argentina, se han impulsado </w:t>
      </w:r>
      <w:r w:rsidR="000C01EE" w:rsidRPr="00786E1A">
        <w:rPr>
          <w:rFonts w:ascii="Arial" w:hAnsi="Arial" w:cs="Arial"/>
          <w:sz w:val="23"/>
          <w:szCs w:val="23"/>
          <w:lang w:val="es-AR"/>
        </w:rPr>
        <w:t>políticas</w:t>
      </w:r>
      <w:r w:rsidRPr="00786E1A">
        <w:rPr>
          <w:rFonts w:ascii="Arial" w:hAnsi="Arial" w:cs="Arial"/>
          <w:sz w:val="23"/>
          <w:szCs w:val="23"/>
          <w:lang w:val="es-AR"/>
        </w:rPr>
        <w:t xml:space="preserve"> para garantizar el derecho a la </w:t>
      </w:r>
      <w:r w:rsidR="000C01EE" w:rsidRPr="00786E1A">
        <w:rPr>
          <w:rFonts w:ascii="Arial" w:hAnsi="Arial" w:cs="Arial"/>
          <w:sz w:val="23"/>
          <w:szCs w:val="23"/>
          <w:lang w:val="es-AR"/>
        </w:rPr>
        <w:t>Educación</w:t>
      </w:r>
      <w:r w:rsidRPr="00786E1A">
        <w:rPr>
          <w:rFonts w:ascii="Arial" w:hAnsi="Arial" w:cs="Arial"/>
          <w:sz w:val="23"/>
          <w:szCs w:val="23"/>
          <w:lang w:val="es-AR"/>
        </w:rPr>
        <w:t xml:space="preserve"> Superior con </w:t>
      </w:r>
      <w:r w:rsidR="000C01EE" w:rsidRPr="00786E1A">
        <w:rPr>
          <w:rFonts w:ascii="Arial" w:hAnsi="Arial" w:cs="Arial"/>
          <w:sz w:val="23"/>
          <w:szCs w:val="23"/>
          <w:lang w:val="es-AR"/>
        </w:rPr>
        <w:t>inclusión</w:t>
      </w:r>
      <w:r w:rsidRPr="00786E1A">
        <w:rPr>
          <w:rFonts w:ascii="Arial" w:hAnsi="Arial" w:cs="Arial"/>
          <w:sz w:val="23"/>
          <w:szCs w:val="23"/>
          <w:lang w:val="es-AR"/>
        </w:rPr>
        <w:t xml:space="preserve"> social, a través de mecanismos de </w:t>
      </w:r>
      <w:r w:rsidR="000C01EE" w:rsidRPr="00786E1A">
        <w:rPr>
          <w:rFonts w:ascii="Arial" w:hAnsi="Arial" w:cs="Arial"/>
          <w:sz w:val="23"/>
          <w:szCs w:val="23"/>
          <w:lang w:val="es-AR"/>
        </w:rPr>
        <w:t>admisión</w:t>
      </w:r>
      <w:r w:rsidRPr="00786E1A">
        <w:rPr>
          <w:rFonts w:ascii="Arial" w:hAnsi="Arial" w:cs="Arial"/>
          <w:sz w:val="23"/>
          <w:szCs w:val="23"/>
          <w:lang w:val="es-AR"/>
        </w:rPr>
        <w:t xml:space="preserve"> no selectivos, gratuidad de los estudios de grado en universidades nacionales con </w:t>
      </w:r>
      <w:r w:rsidR="000C01EE" w:rsidRPr="00786E1A">
        <w:rPr>
          <w:rFonts w:ascii="Arial" w:hAnsi="Arial" w:cs="Arial"/>
          <w:sz w:val="23"/>
          <w:szCs w:val="23"/>
          <w:lang w:val="es-AR"/>
        </w:rPr>
        <w:t>expansión</w:t>
      </w:r>
      <w:r w:rsidRPr="00786E1A">
        <w:rPr>
          <w:rFonts w:ascii="Arial" w:hAnsi="Arial" w:cs="Arial"/>
          <w:sz w:val="23"/>
          <w:szCs w:val="23"/>
          <w:lang w:val="es-AR"/>
        </w:rPr>
        <w:t xml:space="preserve"> de su oferta institucional.</w:t>
      </w:r>
    </w:p>
    <w:p w:rsidR="00786E1A" w:rsidRPr="00786E1A" w:rsidRDefault="000C01EE" w:rsidP="00786E1A">
      <w:pPr>
        <w:spacing w:line="480" w:lineRule="auto"/>
        <w:ind w:firstLine="708"/>
        <w:jc w:val="both"/>
        <w:rPr>
          <w:rFonts w:ascii="Arial" w:hAnsi="Arial" w:cs="Arial"/>
          <w:sz w:val="23"/>
          <w:szCs w:val="23"/>
          <w:lang w:val="es-AR"/>
        </w:rPr>
      </w:pPr>
      <w:r>
        <w:rPr>
          <w:rFonts w:ascii="Arial" w:hAnsi="Arial" w:cs="Arial"/>
          <w:noProof/>
          <w:sz w:val="24"/>
          <w:szCs w:val="24"/>
          <w:lang w:eastAsia="es-ES"/>
        </w:rPr>
        <w:drawing>
          <wp:anchor distT="0" distB="0" distL="114300" distR="114300" simplePos="0" relativeHeight="251659264" behindDoc="0" locked="0" layoutInCell="1" allowOverlap="1" wp14:anchorId="1868A858" wp14:editId="020EF6D6">
            <wp:simplePos x="0" y="0"/>
            <wp:positionH relativeFrom="column">
              <wp:posOffset>-925830</wp:posOffset>
            </wp:positionH>
            <wp:positionV relativeFrom="paragraph">
              <wp:posOffset>1259205</wp:posOffset>
            </wp:positionV>
            <wp:extent cx="518160" cy="16643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 cy="1664335"/>
                    </a:xfrm>
                    <a:prstGeom prst="rect">
                      <a:avLst/>
                    </a:prstGeom>
                    <a:noFill/>
                  </pic:spPr>
                </pic:pic>
              </a:graphicData>
            </a:graphic>
            <wp14:sizeRelH relativeFrom="page">
              <wp14:pctWidth>0</wp14:pctWidth>
            </wp14:sizeRelH>
            <wp14:sizeRelV relativeFrom="page">
              <wp14:pctHeight>0</wp14:pctHeight>
            </wp14:sizeRelV>
          </wp:anchor>
        </w:drawing>
      </w:r>
      <w:r w:rsidR="00786E1A" w:rsidRPr="00786E1A">
        <w:rPr>
          <w:rFonts w:ascii="Arial" w:hAnsi="Arial" w:cs="Arial"/>
          <w:sz w:val="23"/>
          <w:szCs w:val="23"/>
          <w:lang w:val="es-AR"/>
        </w:rPr>
        <w:t xml:space="preserve">Que en 2008, la Declaración de la Conferencia Regional de Educación Superior en América Latina y el Caribe, en Cartagena de Indias, Colombia, estableció que la Educación Superior es un bien público social, un derecho humano universal y un deber del Estado. </w:t>
      </w:r>
    </w:p>
    <w:p w:rsidR="00786E1A" w:rsidRPr="00786E1A" w:rsidRDefault="00786E1A" w:rsidP="00786E1A">
      <w:pPr>
        <w:spacing w:line="480" w:lineRule="auto"/>
        <w:ind w:firstLine="708"/>
        <w:jc w:val="both"/>
        <w:rPr>
          <w:rFonts w:ascii="Arial" w:hAnsi="Arial" w:cs="Arial"/>
          <w:sz w:val="23"/>
          <w:szCs w:val="23"/>
          <w:lang w:val="es-AR"/>
        </w:rPr>
      </w:pPr>
      <w:r w:rsidRPr="00786E1A">
        <w:rPr>
          <w:rFonts w:ascii="Arial" w:hAnsi="Arial" w:cs="Arial"/>
          <w:sz w:val="23"/>
          <w:szCs w:val="23"/>
          <w:lang w:val="es-AR"/>
        </w:rPr>
        <w:t>Que en el año 2015 el Congreso Nacional aprobó una Reforma parcial de la Ley de Educación Superior, incorporando tres aspectos claves: la noción de bien público social y derecho humano universal; la responsabilidad indelegable del Estado en garantizar la igualdad de oportunidades y la prohibición de arancelamiento sobre los estudios de grado.</w:t>
      </w:r>
    </w:p>
    <w:p w:rsidR="00786E1A" w:rsidRPr="00786E1A" w:rsidRDefault="00786E1A" w:rsidP="00786E1A">
      <w:pPr>
        <w:spacing w:line="480" w:lineRule="auto"/>
        <w:jc w:val="both"/>
        <w:rPr>
          <w:rFonts w:ascii="Arial" w:hAnsi="Arial" w:cs="Arial"/>
          <w:sz w:val="23"/>
          <w:szCs w:val="23"/>
          <w:lang w:val="es-AR"/>
        </w:rPr>
      </w:pPr>
    </w:p>
    <w:p w:rsidR="00786E1A" w:rsidRPr="00786E1A" w:rsidRDefault="00786E1A" w:rsidP="00786E1A">
      <w:pPr>
        <w:spacing w:line="480" w:lineRule="auto"/>
        <w:ind w:firstLine="708"/>
        <w:jc w:val="both"/>
        <w:rPr>
          <w:rFonts w:ascii="Arial" w:hAnsi="Arial" w:cs="Arial"/>
          <w:sz w:val="23"/>
          <w:szCs w:val="23"/>
          <w:lang w:val="es-AR"/>
        </w:rPr>
      </w:pPr>
      <w:r w:rsidRPr="00786E1A">
        <w:rPr>
          <w:rFonts w:ascii="Arial" w:hAnsi="Arial" w:cs="Arial"/>
          <w:sz w:val="23"/>
          <w:szCs w:val="23"/>
          <w:lang w:val="es-AR"/>
        </w:rPr>
        <w:t xml:space="preserve">Que desde el año 2016 se observa una tendencia regresiva y la vuelta a una visión neoliberal de la Educación Superior, a través del recorte en términos reales de salario docente, el abandono del modelo por el cual las becas estudiantiles eran reconocidas como un derecho, cuya finalidad era equiparar el acceso a la educación de los y las jóvenes de menores ingresos, para convertirlo en un sistema puramente </w:t>
      </w:r>
      <w:proofErr w:type="spellStart"/>
      <w:r w:rsidRPr="00786E1A">
        <w:rPr>
          <w:rFonts w:ascii="Arial" w:hAnsi="Arial" w:cs="Arial"/>
          <w:sz w:val="23"/>
          <w:szCs w:val="23"/>
          <w:lang w:val="es-AR"/>
        </w:rPr>
        <w:t>meritocrático</w:t>
      </w:r>
      <w:proofErr w:type="spellEnd"/>
      <w:r w:rsidRPr="00786E1A">
        <w:rPr>
          <w:rFonts w:ascii="Arial" w:hAnsi="Arial" w:cs="Arial"/>
          <w:sz w:val="23"/>
          <w:szCs w:val="23"/>
          <w:lang w:val="es-AR"/>
        </w:rPr>
        <w:t>, la reducción o eliminación de programas y el congelamiento en las nuevas incorporaciones a la carrera científica.</w:t>
      </w:r>
    </w:p>
    <w:p w:rsidR="00786E1A" w:rsidRPr="00786E1A" w:rsidRDefault="00786E1A" w:rsidP="00786E1A">
      <w:pPr>
        <w:spacing w:line="480" w:lineRule="auto"/>
        <w:ind w:firstLine="708"/>
        <w:jc w:val="both"/>
        <w:rPr>
          <w:rFonts w:ascii="Arial" w:hAnsi="Arial" w:cs="Arial"/>
          <w:sz w:val="23"/>
          <w:szCs w:val="23"/>
          <w:lang w:val="es-AR"/>
        </w:rPr>
      </w:pPr>
      <w:r w:rsidRPr="00786E1A">
        <w:rPr>
          <w:rFonts w:ascii="Arial" w:hAnsi="Arial" w:cs="Arial"/>
          <w:sz w:val="23"/>
          <w:szCs w:val="23"/>
          <w:lang w:val="es-AR"/>
        </w:rPr>
        <w:t>Que el presupuesto 2018 no previó  el debido incremento de fondos para gastos de funcionamiento de las Universidades Nacionales, por lo que compromete la posibilidad de resguardar la misión de dichas casas de estudios.</w:t>
      </w:r>
    </w:p>
    <w:p w:rsidR="00786E1A" w:rsidRPr="00786E1A" w:rsidRDefault="00786E1A" w:rsidP="00786E1A">
      <w:pPr>
        <w:spacing w:line="480" w:lineRule="auto"/>
        <w:ind w:firstLine="708"/>
        <w:jc w:val="both"/>
        <w:rPr>
          <w:rFonts w:ascii="Arial" w:hAnsi="Arial" w:cs="Arial"/>
          <w:sz w:val="23"/>
          <w:szCs w:val="23"/>
          <w:lang w:val="es-AR"/>
        </w:rPr>
      </w:pPr>
      <w:r w:rsidRPr="00786E1A">
        <w:rPr>
          <w:rFonts w:ascii="Arial" w:hAnsi="Arial" w:cs="Arial"/>
          <w:sz w:val="23"/>
          <w:szCs w:val="23"/>
          <w:lang w:val="es-AR"/>
        </w:rPr>
        <w:t xml:space="preserve">Que hasta la fecha, los y las docentes y </w:t>
      </w:r>
      <w:proofErr w:type="spellStart"/>
      <w:r w:rsidRPr="00786E1A">
        <w:rPr>
          <w:rFonts w:ascii="Arial" w:hAnsi="Arial" w:cs="Arial"/>
          <w:sz w:val="23"/>
          <w:szCs w:val="23"/>
          <w:lang w:val="es-AR"/>
        </w:rPr>
        <w:t>nodocentes</w:t>
      </w:r>
      <w:proofErr w:type="spellEnd"/>
      <w:r w:rsidRPr="00786E1A">
        <w:rPr>
          <w:rFonts w:ascii="Arial" w:hAnsi="Arial" w:cs="Arial"/>
          <w:sz w:val="23"/>
          <w:szCs w:val="23"/>
          <w:lang w:val="es-AR"/>
        </w:rPr>
        <w:t xml:space="preserve"> universitarias no han gozado de una recomposición salarial que acompañe el sustantivo incremento del costo de vida producto de la inflación y la devaluación de la moneda argentina</w:t>
      </w:r>
    </w:p>
    <w:p w:rsidR="00786E1A" w:rsidRPr="00786E1A" w:rsidRDefault="000C01EE" w:rsidP="00786E1A">
      <w:pPr>
        <w:spacing w:line="480" w:lineRule="auto"/>
        <w:ind w:firstLine="708"/>
        <w:jc w:val="both"/>
        <w:rPr>
          <w:rFonts w:ascii="Arial" w:hAnsi="Arial" w:cs="Arial"/>
          <w:sz w:val="23"/>
          <w:szCs w:val="23"/>
          <w:lang w:val="es-AR"/>
        </w:rPr>
      </w:pPr>
      <w:r>
        <w:rPr>
          <w:rFonts w:ascii="Arial" w:hAnsi="Arial" w:cs="Arial"/>
          <w:noProof/>
          <w:sz w:val="24"/>
          <w:szCs w:val="24"/>
          <w:lang w:eastAsia="es-ES"/>
        </w:rPr>
        <w:drawing>
          <wp:anchor distT="0" distB="0" distL="114300" distR="114300" simplePos="0" relativeHeight="251661312" behindDoc="0" locked="0" layoutInCell="1" allowOverlap="1" wp14:anchorId="336C6E26" wp14:editId="61CA71D5">
            <wp:simplePos x="0" y="0"/>
            <wp:positionH relativeFrom="column">
              <wp:posOffset>-840105</wp:posOffset>
            </wp:positionH>
            <wp:positionV relativeFrom="paragraph">
              <wp:posOffset>1535430</wp:posOffset>
            </wp:positionV>
            <wp:extent cx="518160" cy="166433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 cy="1664335"/>
                    </a:xfrm>
                    <a:prstGeom prst="rect">
                      <a:avLst/>
                    </a:prstGeom>
                    <a:noFill/>
                  </pic:spPr>
                </pic:pic>
              </a:graphicData>
            </a:graphic>
            <wp14:sizeRelH relativeFrom="page">
              <wp14:pctWidth>0</wp14:pctWidth>
            </wp14:sizeRelH>
            <wp14:sizeRelV relativeFrom="page">
              <wp14:pctHeight>0</wp14:pctHeight>
            </wp14:sizeRelV>
          </wp:anchor>
        </w:drawing>
      </w:r>
      <w:r w:rsidR="00786E1A" w:rsidRPr="00786E1A">
        <w:rPr>
          <w:rFonts w:ascii="Arial" w:hAnsi="Arial" w:cs="Arial"/>
          <w:sz w:val="23"/>
          <w:szCs w:val="23"/>
          <w:lang w:val="es-AR"/>
        </w:rPr>
        <w:t>Que tales medidas evidencian una política de ajuste y desfinanciamiento que perjudican a la Educación Pública, y en particular a las Universidades, poniendo en riesgo la continuidad de su funcionamiento y colocándolas en un estado de vulnerabilidad tal que las imposibilita de programar el normal desarrollo de sus actividades sustantivas.</w:t>
      </w:r>
    </w:p>
    <w:p w:rsidR="00786E1A" w:rsidRPr="00786E1A" w:rsidRDefault="00786E1A" w:rsidP="00786E1A">
      <w:pPr>
        <w:spacing w:line="480" w:lineRule="auto"/>
        <w:ind w:firstLine="708"/>
        <w:jc w:val="both"/>
        <w:rPr>
          <w:rFonts w:ascii="Arial" w:hAnsi="Arial" w:cs="Arial"/>
          <w:sz w:val="23"/>
          <w:szCs w:val="23"/>
          <w:lang w:val="es-AR"/>
        </w:rPr>
      </w:pPr>
      <w:r w:rsidRPr="00786E1A">
        <w:rPr>
          <w:rFonts w:ascii="Arial" w:hAnsi="Arial" w:cs="Arial"/>
          <w:sz w:val="23"/>
          <w:szCs w:val="23"/>
          <w:lang w:val="es-AR"/>
        </w:rPr>
        <w:t>Que el Consejo Universitario Nacional ya ha pronunciado su preocupación sobre la crítica situación presupuestaria del sistema universitario público argentino.</w:t>
      </w:r>
    </w:p>
    <w:p w:rsidR="00D521B7" w:rsidRPr="00D521B7" w:rsidRDefault="00786E1A" w:rsidP="00786E1A">
      <w:pPr>
        <w:spacing w:line="480" w:lineRule="auto"/>
        <w:ind w:firstLine="708"/>
        <w:jc w:val="both"/>
        <w:rPr>
          <w:rFonts w:ascii="Arial" w:hAnsi="Arial" w:cs="Arial"/>
          <w:sz w:val="23"/>
          <w:szCs w:val="23"/>
          <w:lang w:val="es-AR"/>
        </w:rPr>
      </w:pPr>
      <w:r w:rsidRPr="00786E1A">
        <w:rPr>
          <w:rFonts w:ascii="Arial" w:hAnsi="Arial" w:cs="Arial"/>
          <w:sz w:val="23"/>
          <w:szCs w:val="23"/>
          <w:lang w:val="es-AR"/>
        </w:rPr>
        <w:t xml:space="preserve">Que las Universidades Públicas, sus trabajadores y trabajadoras y sus estudiantes, mantienen su compromiso de garantizar el espacio institucional de desarrollo de pensamiento crítico y científicamente fundado para el logro de una </w:t>
      </w:r>
      <w:proofErr w:type="gramStart"/>
      <w:r w:rsidRPr="00786E1A">
        <w:rPr>
          <w:rFonts w:ascii="Arial" w:hAnsi="Arial" w:cs="Arial"/>
          <w:sz w:val="23"/>
          <w:szCs w:val="23"/>
          <w:lang w:val="es-AR"/>
        </w:rPr>
        <w:t>sociedad</w:t>
      </w:r>
      <w:proofErr w:type="gramEnd"/>
      <w:r w:rsidRPr="00786E1A">
        <w:rPr>
          <w:rFonts w:ascii="Arial" w:hAnsi="Arial" w:cs="Arial"/>
          <w:sz w:val="23"/>
          <w:szCs w:val="23"/>
          <w:lang w:val="es-AR"/>
        </w:rPr>
        <w:t xml:space="preserve"> más igualitaria y justa, y en consecuencia, hace de la crítica y la propuesta de alternativas un instrumento al servicio de la sociedad y el estado.</w:t>
      </w:r>
    </w:p>
    <w:p w:rsidR="006321C1" w:rsidRPr="00FA6E42" w:rsidRDefault="006321C1" w:rsidP="00971518">
      <w:pPr>
        <w:spacing w:line="480" w:lineRule="auto"/>
        <w:jc w:val="both"/>
        <w:rPr>
          <w:rFonts w:ascii="Arial" w:eastAsia="Times New Roman" w:hAnsi="Arial" w:cs="Arial"/>
          <w:sz w:val="23"/>
          <w:szCs w:val="23"/>
          <w:lang w:val="es-AR" w:eastAsia="es-AR"/>
        </w:rPr>
      </w:pPr>
      <w:r w:rsidRPr="00FA6E42">
        <w:rPr>
          <w:rFonts w:ascii="Arial" w:eastAsia="Times New Roman" w:hAnsi="Arial" w:cs="Arial"/>
          <w:sz w:val="23"/>
          <w:szCs w:val="23"/>
          <w:lang w:val="es-AR" w:eastAsia="es-AR"/>
        </w:rPr>
        <w:t>Por ello,</w:t>
      </w:r>
    </w:p>
    <w:p w:rsidR="006321C1" w:rsidRPr="00FA6E42" w:rsidRDefault="006321C1" w:rsidP="006321C1">
      <w:pPr>
        <w:spacing w:line="480" w:lineRule="auto"/>
        <w:jc w:val="center"/>
        <w:rPr>
          <w:rFonts w:ascii="Arial" w:eastAsia="Times New Roman" w:hAnsi="Arial" w:cs="Arial"/>
          <w:b/>
          <w:sz w:val="23"/>
          <w:szCs w:val="23"/>
          <w:lang w:val="es-AR" w:eastAsia="es-AR"/>
        </w:rPr>
      </w:pPr>
      <w:r w:rsidRPr="00FA6E42">
        <w:rPr>
          <w:rFonts w:ascii="Arial" w:eastAsia="Times New Roman" w:hAnsi="Arial" w:cs="Arial"/>
          <w:b/>
          <w:sz w:val="23"/>
          <w:szCs w:val="23"/>
          <w:lang w:val="es-AR" w:eastAsia="es-AR"/>
        </w:rPr>
        <w:t>EL CONSEJO SUPERIOR DE LA</w:t>
      </w:r>
    </w:p>
    <w:p w:rsidR="006321C1" w:rsidRPr="00FA6E42" w:rsidRDefault="006321C1" w:rsidP="006321C1">
      <w:pPr>
        <w:widowControl w:val="0"/>
        <w:spacing w:line="480" w:lineRule="auto"/>
        <w:ind w:right="-142"/>
        <w:jc w:val="center"/>
        <w:rPr>
          <w:rFonts w:ascii="Arial" w:eastAsia="Times New Roman" w:hAnsi="Arial" w:cs="Arial"/>
          <w:b/>
          <w:sz w:val="23"/>
          <w:szCs w:val="23"/>
          <w:lang w:val="es-AR" w:eastAsia="es-AR"/>
        </w:rPr>
      </w:pPr>
      <w:r w:rsidRPr="00FA6E42">
        <w:rPr>
          <w:rFonts w:ascii="Arial" w:eastAsia="Times New Roman" w:hAnsi="Arial" w:cs="Arial"/>
          <w:b/>
          <w:sz w:val="23"/>
          <w:szCs w:val="23"/>
          <w:lang w:val="es-AR" w:eastAsia="es-AR"/>
        </w:rPr>
        <w:t>UNIVERSIDAD NACIONAL DE JOSÉ CLEMENTE PAZ</w:t>
      </w:r>
      <w:r w:rsidRPr="00FA6E42">
        <w:rPr>
          <w:rFonts w:ascii="Arial" w:eastAsia="Times New Roman" w:hAnsi="Arial" w:cs="Arial"/>
          <w:b/>
          <w:sz w:val="23"/>
          <w:szCs w:val="23"/>
          <w:lang w:val="es-AR" w:eastAsia="es-AR"/>
        </w:rPr>
        <w:br/>
        <w:t>RESUELVE:</w:t>
      </w:r>
    </w:p>
    <w:p w:rsidR="00786E1A" w:rsidRPr="00786E1A" w:rsidRDefault="00786E1A" w:rsidP="00786E1A">
      <w:pPr>
        <w:widowControl w:val="0"/>
        <w:tabs>
          <w:tab w:val="left" w:pos="567"/>
          <w:tab w:val="left" w:pos="624"/>
        </w:tabs>
        <w:spacing w:line="480" w:lineRule="auto"/>
        <w:jc w:val="both"/>
        <w:rPr>
          <w:rFonts w:ascii="Arial" w:eastAsia="Times New Roman" w:hAnsi="Arial" w:cs="Arial"/>
          <w:sz w:val="23"/>
          <w:szCs w:val="23"/>
          <w:lang w:val="es-AR" w:eastAsia="es-AR"/>
        </w:rPr>
      </w:pPr>
      <w:r w:rsidRPr="00786E1A">
        <w:rPr>
          <w:rFonts w:ascii="Arial" w:eastAsia="Times New Roman" w:hAnsi="Arial" w:cs="Arial"/>
          <w:sz w:val="23"/>
          <w:szCs w:val="23"/>
          <w:lang w:val="es-AR" w:eastAsia="es-AR"/>
        </w:rPr>
        <w:t>ARTICULO 1º: Rechazar la política de reducción presupuestaria de la Educación Pública y de la de Educación Superior en particular, en el entendimiento que dichas políticas configuran un ataque a la educación Pública y un proceso de desfinanciamiento de las Universidades Públicas.</w:t>
      </w:r>
    </w:p>
    <w:p w:rsidR="00786E1A" w:rsidRPr="00786E1A" w:rsidRDefault="00786E1A" w:rsidP="00786E1A">
      <w:pPr>
        <w:widowControl w:val="0"/>
        <w:tabs>
          <w:tab w:val="left" w:pos="567"/>
          <w:tab w:val="left" w:pos="624"/>
        </w:tabs>
        <w:spacing w:line="480" w:lineRule="auto"/>
        <w:jc w:val="both"/>
        <w:rPr>
          <w:rFonts w:ascii="Arial" w:eastAsia="Times New Roman" w:hAnsi="Arial" w:cs="Arial"/>
          <w:sz w:val="23"/>
          <w:szCs w:val="23"/>
          <w:lang w:val="es-AR" w:eastAsia="es-AR"/>
        </w:rPr>
      </w:pPr>
      <w:r w:rsidRPr="00786E1A">
        <w:rPr>
          <w:rFonts w:ascii="Arial" w:eastAsia="Times New Roman" w:hAnsi="Arial" w:cs="Arial"/>
          <w:sz w:val="23"/>
          <w:szCs w:val="23"/>
          <w:lang w:val="es-AR" w:eastAsia="es-AR"/>
        </w:rPr>
        <w:t>ARTICULO 2º: Reafirmar como comunidad universitaria que el derecho a la educación superior es un bien público y social, un derecho humano universal y que constituye una responsabilidad indelegable del Estado.</w:t>
      </w:r>
    </w:p>
    <w:p w:rsidR="00786E1A" w:rsidRPr="00786E1A" w:rsidRDefault="000C01EE" w:rsidP="00786E1A">
      <w:pPr>
        <w:widowControl w:val="0"/>
        <w:tabs>
          <w:tab w:val="left" w:pos="567"/>
          <w:tab w:val="left" w:pos="624"/>
        </w:tabs>
        <w:spacing w:line="480" w:lineRule="auto"/>
        <w:jc w:val="both"/>
        <w:rPr>
          <w:rFonts w:ascii="Arial" w:eastAsia="Times New Roman" w:hAnsi="Arial" w:cs="Arial"/>
          <w:sz w:val="23"/>
          <w:szCs w:val="23"/>
          <w:lang w:val="es-AR" w:eastAsia="es-AR"/>
        </w:rPr>
      </w:pPr>
      <w:bookmarkStart w:id="0" w:name="_GoBack"/>
      <w:r>
        <w:rPr>
          <w:rFonts w:ascii="Arial" w:hAnsi="Arial" w:cs="Arial"/>
          <w:noProof/>
          <w:sz w:val="24"/>
          <w:szCs w:val="24"/>
          <w:lang w:eastAsia="es-ES"/>
        </w:rPr>
        <w:drawing>
          <wp:anchor distT="0" distB="0" distL="114300" distR="114300" simplePos="0" relativeHeight="251663360" behindDoc="0" locked="0" layoutInCell="1" allowOverlap="1" wp14:anchorId="2866D388" wp14:editId="0BCDD762">
            <wp:simplePos x="0" y="0"/>
            <wp:positionH relativeFrom="column">
              <wp:posOffset>-697230</wp:posOffset>
            </wp:positionH>
            <wp:positionV relativeFrom="paragraph">
              <wp:posOffset>220980</wp:posOffset>
            </wp:positionV>
            <wp:extent cx="518160" cy="166433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 cy="1664335"/>
                    </a:xfrm>
                    <a:prstGeom prst="rect">
                      <a:avLst/>
                    </a:prstGeom>
                    <a:noFill/>
                  </pic:spPr>
                </pic:pic>
              </a:graphicData>
            </a:graphic>
            <wp14:sizeRelH relativeFrom="page">
              <wp14:pctWidth>0</wp14:pctWidth>
            </wp14:sizeRelH>
            <wp14:sizeRelV relativeFrom="page">
              <wp14:pctHeight>0</wp14:pctHeight>
            </wp14:sizeRelV>
          </wp:anchor>
        </w:drawing>
      </w:r>
      <w:bookmarkEnd w:id="0"/>
      <w:r w:rsidR="00786E1A" w:rsidRPr="00786E1A">
        <w:rPr>
          <w:rFonts w:ascii="Arial" w:eastAsia="Times New Roman" w:hAnsi="Arial" w:cs="Arial"/>
          <w:sz w:val="23"/>
          <w:szCs w:val="23"/>
          <w:lang w:val="es-AR" w:eastAsia="es-AR"/>
        </w:rPr>
        <w:t>ARTICULO 3° Exigir que el Estado Nacional realice una previsión y ejecución presupuestaria acorde a las necesidades del conjunto de las Universidades Nacionales, para el ejercicio del derecho de la ciudadanía a acceder a una educación Universitaria de calidad, pública, inclusiva y gratuita.</w:t>
      </w:r>
    </w:p>
    <w:p w:rsidR="00E52E6A" w:rsidRPr="00B44E9A" w:rsidRDefault="00FA6E42" w:rsidP="00786E1A">
      <w:pPr>
        <w:widowControl w:val="0"/>
        <w:tabs>
          <w:tab w:val="left" w:pos="567"/>
          <w:tab w:val="left" w:pos="624"/>
        </w:tabs>
        <w:spacing w:line="480" w:lineRule="auto"/>
        <w:jc w:val="both"/>
        <w:rPr>
          <w:sz w:val="24"/>
          <w:szCs w:val="24"/>
          <w:lang w:val="es-AR"/>
        </w:rPr>
      </w:pPr>
      <w:r w:rsidRPr="00FA6E42">
        <w:rPr>
          <w:rFonts w:ascii="Arial" w:hAnsi="Arial" w:cs="Arial"/>
          <w:sz w:val="23"/>
          <w:szCs w:val="23"/>
          <w:lang w:val="es-AR"/>
        </w:rPr>
        <w:t xml:space="preserve">ARTÍCULO </w:t>
      </w:r>
      <w:r w:rsidR="000C01EE">
        <w:rPr>
          <w:rFonts w:ascii="Arial" w:hAnsi="Arial" w:cs="Arial"/>
          <w:sz w:val="23"/>
          <w:szCs w:val="23"/>
          <w:lang w:val="es-AR"/>
        </w:rPr>
        <w:t>4</w:t>
      </w:r>
      <w:r w:rsidRPr="00FA6E42">
        <w:rPr>
          <w:rFonts w:ascii="Arial" w:hAnsi="Arial" w:cs="Arial"/>
          <w:sz w:val="23"/>
          <w:szCs w:val="23"/>
          <w:lang w:val="es-AR"/>
        </w:rPr>
        <w:t xml:space="preserve">°.- </w:t>
      </w:r>
      <w:r w:rsidR="006321C1" w:rsidRPr="00FA6E42">
        <w:rPr>
          <w:rFonts w:ascii="Arial" w:eastAsia="Times New Roman" w:hAnsi="Arial" w:cs="Arial"/>
          <w:sz w:val="23"/>
          <w:szCs w:val="23"/>
          <w:lang w:eastAsia="es-AR"/>
        </w:rPr>
        <w:t>Regístrese, comuníquese</w:t>
      </w:r>
      <w:r w:rsidR="000C01EE">
        <w:rPr>
          <w:rFonts w:ascii="Arial" w:eastAsia="Times New Roman" w:hAnsi="Arial" w:cs="Arial"/>
          <w:sz w:val="23"/>
          <w:szCs w:val="23"/>
          <w:lang w:eastAsia="es-AR"/>
        </w:rPr>
        <w:t>, publíquese en el Boletín Oficial de esta Universidad. C</w:t>
      </w:r>
      <w:r w:rsidR="006321C1" w:rsidRPr="00FA6E42">
        <w:rPr>
          <w:rFonts w:ascii="Arial" w:eastAsia="Times New Roman" w:hAnsi="Arial" w:cs="Arial"/>
          <w:sz w:val="23"/>
          <w:szCs w:val="23"/>
          <w:lang w:eastAsia="es-AR"/>
        </w:rPr>
        <w:t>umplido, archívese.</w:t>
      </w:r>
    </w:p>
    <w:sectPr w:rsidR="00E52E6A" w:rsidRPr="00B44E9A" w:rsidSect="000D143B">
      <w:headerReference w:type="even" r:id="rId10"/>
      <w:headerReference w:type="default" r:id="rId11"/>
      <w:pgSz w:w="11907" w:h="16839" w:code="9"/>
      <w:pgMar w:top="2835" w:right="567" w:bottom="1418" w:left="2268" w:header="568"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8BD" w:rsidRDefault="009158BD">
      <w:r>
        <w:separator/>
      </w:r>
    </w:p>
  </w:endnote>
  <w:endnote w:type="continuationSeparator" w:id="0">
    <w:p w:rsidR="009158BD" w:rsidRDefault="0091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8BD" w:rsidRDefault="009158BD">
      <w:r>
        <w:separator/>
      </w:r>
    </w:p>
  </w:footnote>
  <w:footnote w:type="continuationSeparator" w:id="0">
    <w:p w:rsidR="009158BD" w:rsidRDefault="00915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BD" w:rsidRPr="00D55033" w:rsidRDefault="009158BD" w:rsidP="00FC0447">
    <w:pPr>
      <w:pStyle w:val="Encabezado"/>
      <w:jc w:val="right"/>
      <w:rPr>
        <w:rFonts w:ascii="Times New Roman" w:hAnsi="Times New Roman"/>
        <w:i/>
        <w:sz w:val="16"/>
        <w:szCs w:val="16"/>
      </w:rPr>
    </w:pPr>
    <w:r>
      <w:rPr>
        <w:rFonts w:ascii="Times New Roman" w:hAnsi="Times New Roman"/>
        <w:i/>
        <w:sz w:val="16"/>
        <w:szCs w:val="16"/>
      </w:rPr>
      <w:t xml:space="preserve">                                                                </w:t>
    </w:r>
    <w:r w:rsidRPr="00D55033">
      <w:rPr>
        <w:rFonts w:ascii="Times New Roman" w:hAnsi="Times New Roman"/>
        <w:i/>
        <w:sz w:val="16"/>
        <w:szCs w:val="16"/>
      </w:rPr>
      <w:t>2015 - AÑO DEL BICENTENARIO DEL CONGRESO DE LOS PUEBLOS LIBRES</w:t>
    </w:r>
  </w:p>
  <w:p w:rsidR="009158BD" w:rsidRDefault="009158BD">
    <w:pPr>
      <w:pStyle w:val="Encabezado"/>
    </w:pPr>
    <w:r>
      <w:t xml:space="preserve">                        </w:t>
    </w:r>
    <w:r>
      <w:rPr>
        <w:noProof/>
        <w:lang w:eastAsia="es-ES"/>
      </w:rPr>
      <w:drawing>
        <wp:inline distT="0" distB="0" distL="0" distR="0" wp14:anchorId="1E96896C" wp14:editId="1022A9D0">
          <wp:extent cx="1666875" cy="705794"/>
          <wp:effectExtent l="0" t="0" r="0" b="0"/>
          <wp:docPr id="5" name="0 Imagen" descr="logo b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byn.jpg"/>
                  <pic:cNvPicPr>
                    <a:picLocks noChangeAspect="1" noChangeArrowheads="1"/>
                  </pic:cNvPicPr>
                </pic:nvPicPr>
                <pic:blipFill>
                  <a:blip r:embed="rId1"/>
                  <a:srcRect/>
                  <a:stretch>
                    <a:fillRect/>
                  </a:stretch>
                </pic:blipFill>
                <pic:spPr bwMode="auto">
                  <a:xfrm>
                    <a:off x="0" y="0"/>
                    <a:ext cx="1678364" cy="710659"/>
                  </a:xfrm>
                  <a:prstGeom prst="rect">
                    <a:avLst/>
                  </a:prstGeom>
                  <a:noFill/>
                  <a:ln w="9525">
                    <a:noFill/>
                    <a:miter lim="800000"/>
                    <a:headEnd/>
                    <a:tailEnd/>
                  </a:ln>
                </pic:spPr>
              </pic:pic>
            </a:graphicData>
          </a:graphic>
        </wp:inline>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BD" w:rsidRPr="00FA7C68" w:rsidRDefault="009158BD" w:rsidP="00FA7C68">
    <w:pPr>
      <w:pStyle w:val="Encabezado"/>
    </w:pPr>
    <w:r>
      <w:rPr>
        <w:noProof/>
        <w:lang w:eastAsia="es-ES"/>
      </w:rPr>
      <w:drawing>
        <wp:inline distT="0" distB="0" distL="0" distR="0" wp14:anchorId="41FC2092" wp14:editId="007A5483">
          <wp:extent cx="5490845" cy="707390"/>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90845" cy="7073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33142"/>
    <w:multiLevelType w:val="hybridMultilevel"/>
    <w:tmpl w:val="D8B63FC4"/>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3EBC66C8"/>
    <w:multiLevelType w:val="hybridMultilevel"/>
    <w:tmpl w:val="1DAEE0AA"/>
    <w:lvl w:ilvl="0" w:tplc="941C9B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F6F4CAE"/>
    <w:multiLevelType w:val="hybridMultilevel"/>
    <w:tmpl w:val="8A7AD31C"/>
    <w:lvl w:ilvl="0" w:tplc="1B1EB594">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468C28AD"/>
    <w:multiLevelType w:val="hybridMultilevel"/>
    <w:tmpl w:val="7E6EAB28"/>
    <w:lvl w:ilvl="0" w:tplc="2C0A0001">
      <w:start w:val="1"/>
      <w:numFmt w:val="bullet"/>
      <w:lvlText w:val=""/>
      <w:lvlJc w:val="left"/>
      <w:pPr>
        <w:ind w:left="825" w:hanging="360"/>
      </w:pPr>
      <w:rPr>
        <w:rFonts w:ascii="Symbol" w:hAnsi="Symbol" w:hint="default"/>
      </w:rPr>
    </w:lvl>
    <w:lvl w:ilvl="1" w:tplc="2C0A0003" w:tentative="1">
      <w:start w:val="1"/>
      <w:numFmt w:val="bullet"/>
      <w:lvlText w:val="o"/>
      <w:lvlJc w:val="left"/>
      <w:pPr>
        <w:ind w:left="1545" w:hanging="360"/>
      </w:pPr>
      <w:rPr>
        <w:rFonts w:ascii="Courier New" w:hAnsi="Courier New" w:cs="Courier New" w:hint="default"/>
      </w:rPr>
    </w:lvl>
    <w:lvl w:ilvl="2" w:tplc="2C0A0005" w:tentative="1">
      <w:start w:val="1"/>
      <w:numFmt w:val="bullet"/>
      <w:lvlText w:val=""/>
      <w:lvlJc w:val="left"/>
      <w:pPr>
        <w:ind w:left="2265" w:hanging="360"/>
      </w:pPr>
      <w:rPr>
        <w:rFonts w:ascii="Wingdings" w:hAnsi="Wingdings" w:hint="default"/>
      </w:rPr>
    </w:lvl>
    <w:lvl w:ilvl="3" w:tplc="2C0A0001" w:tentative="1">
      <w:start w:val="1"/>
      <w:numFmt w:val="bullet"/>
      <w:lvlText w:val=""/>
      <w:lvlJc w:val="left"/>
      <w:pPr>
        <w:ind w:left="2985" w:hanging="360"/>
      </w:pPr>
      <w:rPr>
        <w:rFonts w:ascii="Symbol" w:hAnsi="Symbol" w:hint="default"/>
      </w:rPr>
    </w:lvl>
    <w:lvl w:ilvl="4" w:tplc="2C0A0003" w:tentative="1">
      <w:start w:val="1"/>
      <w:numFmt w:val="bullet"/>
      <w:lvlText w:val="o"/>
      <w:lvlJc w:val="left"/>
      <w:pPr>
        <w:ind w:left="3705" w:hanging="360"/>
      </w:pPr>
      <w:rPr>
        <w:rFonts w:ascii="Courier New" w:hAnsi="Courier New" w:cs="Courier New" w:hint="default"/>
      </w:rPr>
    </w:lvl>
    <w:lvl w:ilvl="5" w:tplc="2C0A0005" w:tentative="1">
      <w:start w:val="1"/>
      <w:numFmt w:val="bullet"/>
      <w:lvlText w:val=""/>
      <w:lvlJc w:val="left"/>
      <w:pPr>
        <w:ind w:left="4425" w:hanging="360"/>
      </w:pPr>
      <w:rPr>
        <w:rFonts w:ascii="Wingdings" w:hAnsi="Wingdings" w:hint="default"/>
      </w:rPr>
    </w:lvl>
    <w:lvl w:ilvl="6" w:tplc="2C0A0001" w:tentative="1">
      <w:start w:val="1"/>
      <w:numFmt w:val="bullet"/>
      <w:lvlText w:val=""/>
      <w:lvlJc w:val="left"/>
      <w:pPr>
        <w:ind w:left="5145" w:hanging="360"/>
      </w:pPr>
      <w:rPr>
        <w:rFonts w:ascii="Symbol" w:hAnsi="Symbol" w:hint="default"/>
      </w:rPr>
    </w:lvl>
    <w:lvl w:ilvl="7" w:tplc="2C0A0003" w:tentative="1">
      <w:start w:val="1"/>
      <w:numFmt w:val="bullet"/>
      <w:lvlText w:val="o"/>
      <w:lvlJc w:val="left"/>
      <w:pPr>
        <w:ind w:left="5865" w:hanging="360"/>
      </w:pPr>
      <w:rPr>
        <w:rFonts w:ascii="Courier New" w:hAnsi="Courier New" w:cs="Courier New" w:hint="default"/>
      </w:rPr>
    </w:lvl>
    <w:lvl w:ilvl="8" w:tplc="2C0A0005" w:tentative="1">
      <w:start w:val="1"/>
      <w:numFmt w:val="bullet"/>
      <w:lvlText w:val=""/>
      <w:lvlJc w:val="left"/>
      <w:pPr>
        <w:ind w:left="6585"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6A"/>
    <w:rsid w:val="00001C63"/>
    <w:rsid w:val="00010ADA"/>
    <w:rsid w:val="000114DA"/>
    <w:rsid w:val="000126B0"/>
    <w:rsid w:val="00013C8D"/>
    <w:rsid w:val="00032800"/>
    <w:rsid w:val="0005451F"/>
    <w:rsid w:val="00072411"/>
    <w:rsid w:val="00073166"/>
    <w:rsid w:val="0008433A"/>
    <w:rsid w:val="00096BDA"/>
    <w:rsid w:val="000A1404"/>
    <w:rsid w:val="000C01EE"/>
    <w:rsid w:val="000C2E90"/>
    <w:rsid w:val="000D143B"/>
    <w:rsid w:val="000F2942"/>
    <w:rsid w:val="001011D6"/>
    <w:rsid w:val="001119E3"/>
    <w:rsid w:val="00116C28"/>
    <w:rsid w:val="00116D07"/>
    <w:rsid w:val="00161509"/>
    <w:rsid w:val="00163BD5"/>
    <w:rsid w:val="0016566F"/>
    <w:rsid w:val="00166F2F"/>
    <w:rsid w:val="00173CBA"/>
    <w:rsid w:val="00184FFA"/>
    <w:rsid w:val="00193C63"/>
    <w:rsid w:val="001A506F"/>
    <w:rsid w:val="001B1BC6"/>
    <w:rsid w:val="001B3D97"/>
    <w:rsid w:val="001B4956"/>
    <w:rsid w:val="001C02E8"/>
    <w:rsid w:val="001D35CE"/>
    <w:rsid w:val="001F6FAC"/>
    <w:rsid w:val="00213FE7"/>
    <w:rsid w:val="00214F9A"/>
    <w:rsid w:val="002176D7"/>
    <w:rsid w:val="0023052E"/>
    <w:rsid w:val="00237EC0"/>
    <w:rsid w:val="00241C5E"/>
    <w:rsid w:val="00245CA9"/>
    <w:rsid w:val="002620B3"/>
    <w:rsid w:val="0028217B"/>
    <w:rsid w:val="00290F32"/>
    <w:rsid w:val="00293CEE"/>
    <w:rsid w:val="00294886"/>
    <w:rsid w:val="00295D79"/>
    <w:rsid w:val="002A6B7D"/>
    <w:rsid w:val="002E05AA"/>
    <w:rsid w:val="002E4F65"/>
    <w:rsid w:val="002F02AD"/>
    <w:rsid w:val="002F4FF3"/>
    <w:rsid w:val="002F67BE"/>
    <w:rsid w:val="00304CF8"/>
    <w:rsid w:val="0031323E"/>
    <w:rsid w:val="003133B1"/>
    <w:rsid w:val="00333B9F"/>
    <w:rsid w:val="00335780"/>
    <w:rsid w:val="003420E3"/>
    <w:rsid w:val="00365108"/>
    <w:rsid w:val="00372394"/>
    <w:rsid w:val="0038294A"/>
    <w:rsid w:val="00383C60"/>
    <w:rsid w:val="003A39FD"/>
    <w:rsid w:val="003A7F77"/>
    <w:rsid w:val="003B2464"/>
    <w:rsid w:val="003E1841"/>
    <w:rsid w:val="003F0357"/>
    <w:rsid w:val="003F2CDA"/>
    <w:rsid w:val="00404805"/>
    <w:rsid w:val="00423618"/>
    <w:rsid w:val="00443114"/>
    <w:rsid w:val="00453BA8"/>
    <w:rsid w:val="004615F6"/>
    <w:rsid w:val="00463BB0"/>
    <w:rsid w:val="00471FAA"/>
    <w:rsid w:val="004B3882"/>
    <w:rsid w:val="004C4F2E"/>
    <w:rsid w:val="004D0A8D"/>
    <w:rsid w:val="004E77E1"/>
    <w:rsid w:val="004F125D"/>
    <w:rsid w:val="005003CD"/>
    <w:rsid w:val="00527349"/>
    <w:rsid w:val="00577C7C"/>
    <w:rsid w:val="005913C2"/>
    <w:rsid w:val="005A56CB"/>
    <w:rsid w:val="005B0065"/>
    <w:rsid w:val="005B363F"/>
    <w:rsid w:val="005C22A6"/>
    <w:rsid w:val="005E6ABD"/>
    <w:rsid w:val="005F5EEE"/>
    <w:rsid w:val="00603B63"/>
    <w:rsid w:val="00622989"/>
    <w:rsid w:val="006321C1"/>
    <w:rsid w:val="00632356"/>
    <w:rsid w:val="0063799C"/>
    <w:rsid w:val="00640E4D"/>
    <w:rsid w:val="00643617"/>
    <w:rsid w:val="006457A6"/>
    <w:rsid w:val="006533F9"/>
    <w:rsid w:val="00664920"/>
    <w:rsid w:val="006657EB"/>
    <w:rsid w:val="00677E51"/>
    <w:rsid w:val="006A05C5"/>
    <w:rsid w:val="006A6031"/>
    <w:rsid w:val="006B53EF"/>
    <w:rsid w:val="006D28CC"/>
    <w:rsid w:val="006E207C"/>
    <w:rsid w:val="006F740A"/>
    <w:rsid w:val="007054EE"/>
    <w:rsid w:val="0070612D"/>
    <w:rsid w:val="007242E1"/>
    <w:rsid w:val="007276EA"/>
    <w:rsid w:val="007411BD"/>
    <w:rsid w:val="0074186F"/>
    <w:rsid w:val="007564E6"/>
    <w:rsid w:val="00761A3E"/>
    <w:rsid w:val="007646DE"/>
    <w:rsid w:val="0076635B"/>
    <w:rsid w:val="00766F58"/>
    <w:rsid w:val="00767B34"/>
    <w:rsid w:val="00772A90"/>
    <w:rsid w:val="007814B5"/>
    <w:rsid w:val="00786E1A"/>
    <w:rsid w:val="007C3B6D"/>
    <w:rsid w:val="007D241A"/>
    <w:rsid w:val="007E3F29"/>
    <w:rsid w:val="008130C2"/>
    <w:rsid w:val="00824CC8"/>
    <w:rsid w:val="0084147C"/>
    <w:rsid w:val="008522F1"/>
    <w:rsid w:val="00861339"/>
    <w:rsid w:val="008734DF"/>
    <w:rsid w:val="008A1308"/>
    <w:rsid w:val="008A28D2"/>
    <w:rsid w:val="008A52BD"/>
    <w:rsid w:val="008C5D03"/>
    <w:rsid w:val="008C647A"/>
    <w:rsid w:val="008D3E7F"/>
    <w:rsid w:val="008E005B"/>
    <w:rsid w:val="008E125C"/>
    <w:rsid w:val="008E551F"/>
    <w:rsid w:val="00914B8C"/>
    <w:rsid w:val="009158BD"/>
    <w:rsid w:val="00921DD6"/>
    <w:rsid w:val="00935CFA"/>
    <w:rsid w:val="00945B32"/>
    <w:rsid w:val="009533F2"/>
    <w:rsid w:val="00964119"/>
    <w:rsid w:val="00971518"/>
    <w:rsid w:val="00976341"/>
    <w:rsid w:val="009872ED"/>
    <w:rsid w:val="009918D1"/>
    <w:rsid w:val="009952D7"/>
    <w:rsid w:val="00997DDF"/>
    <w:rsid w:val="009A0C99"/>
    <w:rsid w:val="009E1296"/>
    <w:rsid w:val="009E3D35"/>
    <w:rsid w:val="009E7808"/>
    <w:rsid w:val="00A014B8"/>
    <w:rsid w:val="00A05621"/>
    <w:rsid w:val="00A24FA4"/>
    <w:rsid w:val="00A32440"/>
    <w:rsid w:val="00A53E2C"/>
    <w:rsid w:val="00A7331F"/>
    <w:rsid w:val="00A733B2"/>
    <w:rsid w:val="00A81788"/>
    <w:rsid w:val="00A903E1"/>
    <w:rsid w:val="00A96027"/>
    <w:rsid w:val="00AB2079"/>
    <w:rsid w:val="00AB2E38"/>
    <w:rsid w:val="00AB59C3"/>
    <w:rsid w:val="00AC637F"/>
    <w:rsid w:val="00AC7D7D"/>
    <w:rsid w:val="00AE2F36"/>
    <w:rsid w:val="00AF0B02"/>
    <w:rsid w:val="00AF574A"/>
    <w:rsid w:val="00AF5BCC"/>
    <w:rsid w:val="00B20983"/>
    <w:rsid w:val="00B260E0"/>
    <w:rsid w:val="00B34E96"/>
    <w:rsid w:val="00B44E9A"/>
    <w:rsid w:val="00B540A4"/>
    <w:rsid w:val="00B62812"/>
    <w:rsid w:val="00B72C8C"/>
    <w:rsid w:val="00B76174"/>
    <w:rsid w:val="00B90422"/>
    <w:rsid w:val="00B96BF7"/>
    <w:rsid w:val="00BA7331"/>
    <w:rsid w:val="00BB437A"/>
    <w:rsid w:val="00BB5FC7"/>
    <w:rsid w:val="00BF6090"/>
    <w:rsid w:val="00C018F7"/>
    <w:rsid w:val="00C02030"/>
    <w:rsid w:val="00C07CD6"/>
    <w:rsid w:val="00C22723"/>
    <w:rsid w:val="00C34D05"/>
    <w:rsid w:val="00C35490"/>
    <w:rsid w:val="00C41570"/>
    <w:rsid w:val="00C46397"/>
    <w:rsid w:val="00C61326"/>
    <w:rsid w:val="00C63632"/>
    <w:rsid w:val="00C63974"/>
    <w:rsid w:val="00C7575B"/>
    <w:rsid w:val="00C94951"/>
    <w:rsid w:val="00CA18CB"/>
    <w:rsid w:val="00CA7E6F"/>
    <w:rsid w:val="00CB06A7"/>
    <w:rsid w:val="00CB1683"/>
    <w:rsid w:val="00CD46F2"/>
    <w:rsid w:val="00D05014"/>
    <w:rsid w:val="00D311B6"/>
    <w:rsid w:val="00D521B7"/>
    <w:rsid w:val="00DA2831"/>
    <w:rsid w:val="00DA3F33"/>
    <w:rsid w:val="00DA4AE7"/>
    <w:rsid w:val="00DB33B2"/>
    <w:rsid w:val="00DB4898"/>
    <w:rsid w:val="00DB6EC2"/>
    <w:rsid w:val="00DC307A"/>
    <w:rsid w:val="00DD6561"/>
    <w:rsid w:val="00E159A7"/>
    <w:rsid w:val="00E247E4"/>
    <w:rsid w:val="00E41027"/>
    <w:rsid w:val="00E51A13"/>
    <w:rsid w:val="00E52E6A"/>
    <w:rsid w:val="00E544AA"/>
    <w:rsid w:val="00E81D2D"/>
    <w:rsid w:val="00E852EC"/>
    <w:rsid w:val="00E90D42"/>
    <w:rsid w:val="00EB378C"/>
    <w:rsid w:val="00EC0823"/>
    <w:rsid w:val="00ED430D"/>
    <w:rsid w:val="00EE10C2"/>
    <w:rsid w:val="00EE117F"/>
    <w:rsid w:val="00EF1EC9"/>
    <w:rsid w:val="00EF5834"/>
    <w:rsid w:val="00EF606D"/>
    <w:rsid w:val="00F158B2"/>
    <w:rsid w:val="00F24841"/>
    <w:rsid w:val="00F26F32"/>
    <w:rsid w:val="00F453C3"/>
    <w:rsid w:val="00F86CBB"/>
    <w:rsid w:val="00FA135A"/>
    <w:rsid w:val="00FA2DA6"/>
    <w:rsid w:val="00FA401B"/>
    <w:rsid w:val="00FA6E42"/>
    <w:rsid w:val="00FA7C68"/>
    <w:rsid w:val="00FB0085"/>
    <w:rsid w:val="00FB013D"/>
    <w:rsid w:val="00FB117C"/>
    <w:rsid w:val="00FC0447"/>
    <w:rsid w:val="00FE008D"/>
    <w:rsid w:val="00FE0251"/>
    <w:rsid w:val="00FE1F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027"/>
    <w:pPr>
      <w:spacing w:after="0" w:line="240" w:lineRule="auto"/>
    </w:pPr>
    <w:rPr>
      <w:rFonts w:ascii="Calibri" w:eastAsia="Calibri" w:hAnsi="Calibri" w:cs="Times New Roman"/>
      <w:sz w:val="18"/>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52E6A"/>
    <w:pPr>
      <w:spacing w:after="0" w:line="240" w:lineRule="auto"/>
    </w:pPr>
    <w:rPr>
      <w:rFonts w:ascii="Calibri" w:eastAsia="Calibri" w:hAnsi="Calibri" w:cs="Times New Roman"/>
      <w:sz w:val="20"/>
      <w:szCs w:val="20"/>
      <w:lang w:val="es-AR"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52E6A"/>
    <w:pPr>
      <w:tabs>
        <w:tab w:val="center" w:pos="4419"/>
        <w:tab w:val="right" w:pos="8838"/>
      </w:tabs>
    </w:pPr>
    <w:rPr>
      <w:szCs w:val="20"/>
    </w:rPr>
  </w:style>
  <w:style w:type="character" w:customStyle="1" w:styleId="EncabezadoCar">
    <w:name w:val="Encabezado Car"/>
    <w:basedOn w:val="Fuentedeprrafopredeter"/>
    <w:link w:val="Encabezado"/>
    <w:uiPriority w:val="99"/>
    <w:rsid w:val="00E52E6A"/>
    <w:rPr>
      <w:rFonts w:ascii="Calibri" w:eastAsia="Calibri" w:hAnsi="Calibri" w:cs="Times New Roman"/>
      <w:sz w:val="18"/>
      <w:szCs w:val="20"/>
      <w:lang w:eastAsia="zh-CN"/>
    </w:rPr>
  </w:style>
  <w:style w:type="paragraph" w:styleId="Prrafodelista">
    <w:name w:val="List Paragraph"/>
    <w:basedOn w:val="Normal"/>
    <w:uiPriority w:val="34"/>
    <w:qFormat/>
    <w:rsid w:val="00E52E6A"/>
    <w:pPr>
      <w:ind w:left="708"/>
    </w:pPr>
  </w:style>
  <w:style w:type="paragraph" w:styleId="Textodeglobo">
    <w:name w:val="Balloon Text"/>
    <w:basedOn w:val="Normal"/>
    <w:link w:val="TextodegloboCar"/>
    <w:uiPriority w:val="99"/>
    <w:semiHidden/>
    <w:unhideWhenUsed/>
    <w:rsid w:val="00E5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E6A"/>
    <w:rPr>
      <w:rFonts w:ascii="Tahoma" w:eastAsia="Calibri" w:hAnsi="Tahoma" w:cs="Tahoma"/>
      <w:sz w:val="16"/>
      <w:szCs w:val="16"/>
      <w:lang w:eastAsia="zh-CN"/>
    </w:rPr>
  </w:style>
  <w:style w:type="paragraph" w:styleId="Piedepgina">
    <w:name w:val="footer"/>
    <w:basedOn w:val="Normal"/>
    <w:link w:val="PiedepginaCar"/>
    <w:uiPriority w:val="99"/>
    <w:unhideWhenUsed/>
    <w:rsid w:val="00EE117F"/>
    <w:pPr>
      <w:tabs>
        <w:tab w:val="center" w:pos="4419"/>
        <w:tab w:val="right" w:pos="8838"/>
      </w:tabs>
    </w:pPr>
  </w:style>
  <w:style w:type="character" w:customStyle="1" w:styleId="PiedepginaCar">
    <w:name w:val="Pie de página Car"/>
    <w:basedOn w:val="Fuentedeprrafopredeter"/>
    <w:link w:val="Piedepgina"/>
    <w:uiPriority w:val="99"/>
    <w:rsid w:val="00EE117F"/>
    <w:rPr>
      <w:rFonts w:ascii="Calibri" w:eastAsia="Calibri" w:hAnsi="Calibri" w:cs="Times New Roman"/>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027"/>
    <w:pPr>
      <w:spacing w:after="0" w:line="240" w:lineRule="auto"/>
    </w:pPr>
    <w:rPr>
      <w:rFonts w:ascii="Calibri" w:eastAsia="Calibri" w:hAnsi="Calibri" w:cs="Times New Roman"/>
      <w:sz w:val="18"/>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52E6A"/>
    <w:pPr>
      <w:spacing w:after="0" w:line="240" w:lineRule="auto"/>
    </w:pPr>
    <w:rPr>
      <w:rFonts w:ascii="Calibri" w:eastAsia="Calibri" w:hAnsi="Calibri" w:cs="Times New Roman"/>
      <w:sz w:val="20"/>
      <w:szCs w:val="20"/>
      <w:lang w:val="es-AR"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52E6A"/>
    <w:pPr>
      <w:tabs>
        <w:tab w:val="center" w:pos="4419"/>
        <w:tab w:val="right" w:pos="8838"/>
      </w:tabs>
    </w:pPr>
    <w:rPr>
      <w:szCs w:val="20"/>
    </w:rPr>
  </w:style>
  <w:style w:type="character" w:customStyle="1" w:styleId="EncabezadoCar">
    <w:name w:val="Encabezado Car"/>
    <w:basedOn w:val="Fuentedeprrafopredeter"/>
    <w:link w:val="Encabezado"/>
    <w:uiPriority w:val="99"/>
    <w:rsid w:val="00E52E6A"/>
    <w:rPr>
      <w:rFonts w:ascii="Calibri" w:eastAsia="Calibri" w:hAnsi="Calibri" w:cs="Times New Roman"/>
      <w:sz w:val="18"/>
      <w:szCs w:val="20"/>
      <w:lang w:eastAsia="zh-CN"/>
    </w:rPr>
  </w:style>
  <w:style w:type="paragraph" w:styleId="Prrafodelista">
    <w:name w:val="List Paragraph"/>
    <w:basedOn w:val="Normal"/>
    <w:uiPriority w:val="34"/>
    <w:qFormat/>
    <w:rsid w:val="00E52E6A"/>
    <w:pPr>
      <w:ind w:left="708"/>
    </w:pPr>
  </w:style>
  <w:style w:type="paragraph" w:styleId="Textodeglobo">
    <w:name w:val="Balloon Text"/>
    <w:basedOn w:val="Normal"/>
    <w:link w:val="TextodegloboCar"/>
    <w:uiPriority w:val="99"/>
    <w:semiHidden/>
    <w:unhideWhenUsed/>
    <w:rsid w:val="00E5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E6A"/>
    <w:rPr>
      <w:rFonts w:ascii="Tahoma" w:eastAsia="Calibri" w:hAnsi="Tahoma" w:cs="Tahoma"/>
      <w:sz w:val="16"/>
      <w:szCs w:val="16"/>
      <w:lang w:eastAsia="zh-CN"/>
    </w:rPr>
  </w:style>
  <w:style w:type="paragraph" w:styleId="Piedepgina">
    <w:name w:val="footer"/>
    <w:basedOn w:val="Normal"/>
    <w:link w:val="PiedepginaCar"/>
    <w:uiPriority w:val="99"/>
    <w:unhideWhenUsed/>
    <w:rsid w:val="00EE117F"/>
    <w:pPr>
      <w:tabs>
        <w:tab w:val="center" w:pos="4419"/>
        <w:tab w:val="right" w:pos="8838"/>
      </w:tabs>
    </w:pPr>
  </w:style>
  <w:style w:type="character" w:customStyle="1" w:styleId="PiedepginaCar">
    <w:name w:val="Pie de página Car"/>
    <w:basedOn w:val="Fuentedeprrafopredeter"/>
    <w:link w:val="Piedepgina"/>
    <w:uiPriority w:val="99"/>
    <w:rsid w:val="00EE117F"/>
    <w:rPr>
      <w:rFonts w:ascii="Calibri" w:eastAsia="Calibri" w:hAnsi="Calibri" w:cs="Times New Roman"/>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390591">
      <w:bodyDiv w:val="1"/>
      <w:marLeft w:val="0"/>
      <w:marRight w:val="0"/>
      <w:marTop w:val="0"/>
      <w:marBottom w:val="0"/>
      <w:divBdr>
        <w:top w:val="none" w:sz="0" w:space="0" w:color="auto"/>
        <w:left w:val="none" w:sz="0" w:space="0" w:color="auto"/>
        <w:bottom w:val="none" w:sz="0" w:space="0" w:color="auto"/>
        <w:right w:val="none" w:sz="0" w:space="0" w:color="auto"/>
      </w:divBdr>
    </w:div>
    <w:div w:id="148997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8FA42-D06A-4AA3-A92F-98D53407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Vanesa Cerrudo</cp:lastModifiedBy>
  <cp:revision>2</cp:revision>
  <cp:lastPrinted>2018-08-28T16:01:00Z</cp:lastPrinted>
  <dcterms:created xsi:type="dcterms:W3CDTF">2018-08-28T16:03:00Z</dcterms:created>
  <dcterms:modified xsi:type="dcterms:W3CDTF">2018-08-28T16:03:00Z</dcterms:modified>
</cp:coreProperties>
</file>